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charts/chart10.xml" ContentType="application/vnd.openxmlformats-officedocument.drawingml.chart+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23" w:rsidRDefault="00326C7C">
      <w:pPr>
        <w:rPr>
          <w:rFonts w:ascii="Colonna MT" w:hAnsi="Colonna MT"/>
          <w:sz w:val="96"/>
          <w:szCs w:val="96"/>
        </w:rPr>
      </w:pPr>
      <w:r>
        <w:rPr>
          <w:rFonts w:ascii="Colonna MT" w:hAnsi="Colonna MT"/>
          <w:sz w:val="96"/>
          <w:szCs w:val="96"/>
        </w:rPr>
        <w:t xml:space="preserve">                                                                                           </w:t>
      </w:r>
    </w:p>
    <w:p w:rsidR="004F6B7E" w:rsidRDefault="004F6B7E">
      <w:pPr>
        <w:rPr>
          <w:rFonts w:ascii="Colonna MT" w:hAnsi="Colonna MT"/>
          <w:sz w:val="96"/>
          <w:szCs w:val="96"/>
        </w:rPr>
      </w:pPr>
    </w:p>
    <w:p w:rsidR="004F6B7E" w:rsidRPr="00711356" w:rsidRDefault="00ED5DAF">
      <w:pPr>
        <w:rPr>
          <w:rFonts w:ascii="Colonna MT" w:hAnsi="Colonna MT"/>
          <w:color w:val="7030A0"/>
          <w:sz w:val="96"/>
          <w:szCs w:val="96"/>
        </w:rPr>
      </w:pPr>
      <w:r w:rsidRPr="00711356">
        <w:rPr>
          <w:rFonts w:ascii="Colonna MT" w:hAnsi="Colonna MT"/>
          <w:color w:val="7030A0"/>
          <w:sz w:val="96"/>
          <w:szCs w:val="96"/>
        </w:rPr>
        <w:t>POBREZA Y DESIGUALDAD</w:t>
      </w:r>
    </w:p>
    <w:p w:rsidR="00ED5DAF" w:rsidRPr="004F6B7E" w:rsidRDefault="00ED5DAF">
      <w:pPr>
        <w:rPr>
          <w:rFonts w:ascii="Colonna MT" w:hAnsi="Colonna MT"/>
          <w:sz w:val="96"/>
          <w:szCs w:val="96"/>
        </w:rPr>
      </w:pPr>
    </w:p>
    <w:p w:rsidR="004F6B7E" w:rsidRDefault="004F6B7E" w:rsidP="004F6B7E">
      <w:pPr>
        <w:jc w:val="center"/>
        <w:rPr>
          <w:rFonts w:ascii="Colonna MT" w:hAnsi="Colonna MT"/>
          <w:sz w:val="96"/>
          <w:szCs w:val="96"/>
        </w:rPr>
      </w:pPr>
    </w:p>
    <w:p w:rsidR="00ED5DAF" w:rsidRDefault="00ED5DAF" w:rsidP="004F6B7E">
      <w:pPr>
        <w:jc w:val="center"/>
        <w:rPr>
          <w:rFonts w:ascii="Colonna MT" w:hAnsi="Colonna MT"/>
          <w:sz w:val="96"/>
          <w:szCs w:val="96"/>
        </w:rPr>
      </w:pPr>
    </w:p>
    <w:p w:rsidR="00ED5DAF" w:rsidRDefault="00ED5DAF" w:rsidP="004F6B7E">
      <w:pPr>
        <w:jc w:val="center"/>
        <w:rPr>
          <w:rFonts w:ascii="Colonna MT" w:hAnsi="Colonna MT"/>
          <w:sz w:val="96"/>
          <w:szCs w:val="96"/>
        </w:rPr>
      </w:pPr>
    </w:p>
    <w:p w:rsidR="00ED5DAF" w:rsidRDefault="00ED5DAF" w:rsidP="004F6B7E">
      <w:pPr>
        <w:jc w:val="center"/>
        <w:rPr>
          <w:rFonts w:ascii="Colonna MT" w:hAnsi="Colonna MT"/>
          <w:sz w:val="96"/>
          <w:szCs w:val="96"/>
        </w:rPr>
      </w:pPr>
    </w:p>
    <w:p w:rsidR="004F6B7E" w:rsidRDefault="004F6B7E" w:rsidP="004F6B7E">
      <w:pPr>
        <w:rPr>
          <w:rFonts w:ascii="Colonna MT" w:hAnsi="Colonna MT"/>
          <w:sz w:val="96"/>
          <w:szCs w:val="96"/>
        </w:rPr>
      </w:pPr>
    </w:p>
    <w:p w:rsidR="00755F2A" w:rsidRPr="00CD6AA3" w:rsidRDefault="007A02F2" w:rsidP="00CD6AA3">
      <w:pPr>
        <w:pStyle w:val="Ttulo"/>
        <w:numPr>
          <w:ilvl w:val="0"/>
          <w:numId w:val="3"/>
        </w:numPr>
        <w:pBdr>
          <w:bottom w:val="single" w:sz="8" w:space="4" w:color="7030A0"/>
        </w:pBdr>
        <w:rPr>
          <w:color w:val="7030A0"/>
        </w:rPr>
      </w:pPr>
      <w:r>
        <w:rPr>
          <w:color w:val="7030A0"/>
        </w:rPr>
        <w:lastRenderedPageBreak/>
        <w:t>INTRODUCCIÓN</w:t>
      </w:r>
    </w:p>
    <w:p w:rsidR="00260A4A" w:rsidRDefault="00260A4A" w:rsidP="008A6245">
      <w:pPr>
        <w:spacing w:line="360" w:lineRule="auto"/>
        <w:jc w:val="both"/>
        <w:rPr>
          <w:rFonts w:ascii="Verdana" w:hAnsi="Verdana"/>
        </w:rPr>
      </w:pPr>
    </w:p>
    <w:p w:rsidR="00755F2A" w:rsidRDefault="00755F2A" w:rsidP="008A6245">
      <w:pPr>
        <w:spacing w:line="360" w:lineRule="auto"/>
        <w:jc w:val="both"/>
        <w:rPr>
          <w:rFonts w:ascii="Verdana" w:hAnsi="Verdana"/>
        </w:rPr>
      </w:pPr>
      <w:r>
        <w:rPr>
          <w:rFonts w:ascii="Verdana" w:hAnsi="Verdana"/>
        </w:rPr>
        <w:t xml:space="preserve">Cuando la </w:t>
      </w:r>
      <w:r w:rsidR="00FC0598">
        <w:rPr>
          <w:rFonts w:ascii="Verdana" w:hAnsi="Verdana"/>
        </w:rPr>
        <w:t xml:space="preserve">mayoría de la </w:t>
      </w:r>
      <w:r>
        <w:rPr>
          <w:rFonts w:ascii="Verdana" w:hAnsi="Verdana"/>
        </w:rPr>
        <w:t xml:space="preserve">población no se había recuperado </w:t>
      </w:r>
      <w:r w:rsidR="00FC0598">
        <w:rPr>
          <w:rFonts w:ascii="Verdana" w:hAnsi="Verdana"/>
        </w:rPr>
        <w:t xml:space="preserve">aún </w:t>
      </w:r>
      <w:r>
        <w:rPr>
          <w:rFonts w:ascii="Verdana" w:hAnsi="Verdana"/>
        </w:rPr>
        <w:t>de la anterior crisis, la llegada de la pandemia en el año 2020 vino agravar aún más la situación</w:t>
      </w:r>
      <w:r w:rsidR="00A37904">
        <w:rPr>
          <w:rFonts w:ascii="Verdana" w:hAnsi="Verdana"/>
        </w:rPr>
        <w:t xml:space="preserve"> dejando un panorama desolador</w:t>
      </w:r>
      <w:r>
        <w:rPr>
          <w:rFonts w:ascii="Verdana" w:hAnsi="Verdana"/>
        </w:rPr>
        <w:t xml:space="preserve">. Lo que en un primer momento </w:t>
      </w:r>
      <w:r w:rsidR="0022526C">
        <w:rPr>
          <w:rFonts w:ascii="Verdana" w:hAnsi="Verdana"/>
        </w:rPr>
        <w:t xml:space="preserve">comenzó como una crisis sanitaria, terminó convirtiéndose </w:t>
      </w:r>
      <w:r w:rsidR="000778C1">
        <w:rPr>
          <w:rFonts w:ascii="Verdana" w:hAnsi="Verdana"/>
        </w:rPr>
        <w:t>en una crisis económica y social sin precedentes</w:t>
      </w:r>
      <w:r w:rsidR="00B91459">
        <w:rPr>
          <w:rFonts w:ascii="Verdana" w:hAnsi="Verdana"/>
        </w:rPr>
        <w:t>, cuyas secuelas tardarán tiempo en superarse si no se toman las medidas en la dirección correcta</w:t>
      </w:r>
      <w:r w:rsidR="000778C1">
        <w:rPr>
          <w:rFonts w:ascii="Verdana" w:hAnsi="Verdana"/>
        </w:rPr>
        <w:t>. La actividad económica mundial sufrió la mayor caída en la historia, por encima de la registrada en la crisis del año 2008.</w:t>
      </w:r>
    </w:p>
    <w:p w:rsidR="000778C1" w:rsidRDefault="00BD7115" w:rsidP="008A6245">
      <w:pPr>
        <w:spacing w:line="360" w:lineRule="auto"/>
        <w:jc w:val="both"/>
        <w:rPr>
          <w:rFonts w:ascii="Verdana" w:hAnsi="Verdana"/>
        </w:rPr>
      </w:pPr>
      <w:r>
        <w:rPr>
          <w:rFonts w:ascii="Verdana" w:hAnsi="Verdana"/>
        </w:rPr>
        <w:t xml:space="preserve">La política de recortes puesta en marcha para superar la crisis del año 2008 disparó la pobreza y la exclusión social, a la vez que </w:t>
      </w:r>
      <w:r w:rsidR="00A37904">
        <w:rPr>
          <w:rFonts w:ascii="Verdana" w:hAnsi="Verdana"/>
        </w:rPr>
        <w:t xml:space="preserve">se </w:t>
      </w:r>
      <w:r>
        <w:rPr>
          <w:rFonts w:ascii="Verdana" w:hAnsi="Verdana"/>
        </w:rPr>
        <w:t>ampliaron las diferencias sociales. Esta situación de vulnerabilidad entre gran parte de la población hizo que la pandemia diera otro giro de tuerca sobre sus condiciones de vida.</w:t>
      </w:r>
    </w:p>
    <w:p w:rsidR="00755F2A" w:rsidRDefault="00FC0598" w:rsidP="008A6245">
      <w:pPr>
        <w:spacing w:line="360" w:lineRule="auto"/>
        <w:jc w:val="both"/>
        <w:rPr>
          <w:rFonts w:ascii="Verdana" w:hAnsi="Verdana"/>
        </w:rPr>
      </w:pPr>
      <w:r>
        <w:rPr>
          <w:rFonts w:ascii="Verdana" w:hAnsi="Verdana"/>
        </w:rPr>
        <w:t>Como sucede siempre l</w:t>
      </w:r>
      <w:r w:rsidR="00A37904">
        <w:rPr>
          <w:rFonts w:ascii="Verdana" w:hAnsi="Verdana"/>
        </w:rPr>
        <w:t xml:space="preserve">a pandemia se ha cebado con los </w:t>
      </w:r>
      <w:r>
        <w:rPr>
          <w:rFonts w:ascii="Verdana" w:hAnsi="Verdana"/>
        </w:rPr>
        <w:t>más débiles</w:t>
      </w:r>
      <w:r w:rsidR="00AD57EC">
        <w:rPr>
          <w:rFonts w:ascii="Verdana" w:hAnsi="Verdana"/>
        </w:rPr>
        <w:t xml:space="preserve">. Las condiciones </w:t>
      </w:r>
      <w:r w:rsidR="00A37904">
        <w:rPr>
          <w:rFonts w:ascii="Verdana" w:hAnsi="Verdana"/>
        </w:rPr>
        <w:t>socioeconómicas t</w:t>
      </w:r>
      <w:r w:rsidR="001E484C">
        <w:rPr>
          <w:rFonts w:ascii="Verdana" w:hAnsi="Verdana"/>
        </w:rPr>
        <w:t>iene una relación directa en un mayor impacto</w:t>
      </w:r>
      <w:r>
        <w:rPr>
          <w:rFonts w:ascii="Verdana" w:hAnsi="Verdana"/>
        </w:rPr>
        <w:t xml:space="preserve"> de la crisis, </w:t>
      </w:r>
      <w:r w:rsidR="00264E4E">
        <w:rPr>
          <w:rFonts w:ascii="Verdana" w:hAnsi="Verdana"/>
        </w:rPr>
        <w:t xml:space="preserve">desde el punto de vista sanitario, por una mayor exposición al virus, debido a cuestiones como una menor posibilidad de acogerse a medidas como el teletrabajo, </w:t>
      </w:r>
      <w:r>
        <w:rPr>
          <w:rFonts w:ascii="Verdana" w:hAnsi="Verdana"/>
        </w:rPr>
        <w:t xml:space="preserve">pero </w:t>
      </w:r>
      <w:r w:rsidR="00264E4E">
        <w:rPr>
          <w:rFonts w:ascii="Verdana" w:hAnsi="Verdana"/>
        </w:rPr>
        <w:t xml:space="preserve">además </w:t>
      </w:r>
      <w:r>
        <w:rPr>
          <w:rFonts w:ascii="Verdana" w:hAnsi="Verdana"/>
        </w:rPr>
        <w:t>la población más vulnerable cuenta con</w:t>
      </w:r>
      <w:r w:rsidR="00264E4E">
        <w:rPr>
          <w:rFonts w:ascii="Verdana" w:hAnsi="Verdana"/>
        </w:rPr>
        <w:t xml:space="preserve"> viviendas </w:t>
      </w:r>
      <w:r>
        <w:rPr>
          <w:rFonts w:ascii="Verdana" w:hAnsi="Verdana"/>
        </w:rPr>
        <w:t>con</w:t>
      </w:r>
      <w:r w:rsidR="00264E4E">
        <w:rPr>
          <w:rFonts w:ascii="Verdana" w:hAnsi="Verdana"/>
        </w:rPr>
        <w:t xml:space="preserve"> mayores limitaciones para mantener la distancia o con menores zonas abiertas</w:t>
      </w:r>
      <w:r>
        <w:rPr>
          <w:rFonts w:ascii="Verdana" w:hAnsi="Verdana"/>
        </w:rPr>
        <w:t>, a la vez que tienen una mayor</w:t>
      </w:r>
      <w:r w:rsidR="00264E4E">
        <w:rPr>
          <w:rFonts w:ascii="Verdana" w:hAnsi="Verdana"/>
        </w:rPr>
        <w:t xml:space="preserve"> necesidad de utilizar el transporte público para desplazarse hasta sus centros de trabajo. Los datos corroboraban cómo los índices de incidencia eran mayores en zonas o barrios con menores niveles de renta.</w:t>
      </w:r>
    </w:p>
    <w:p w:rsidR="00260A4A" w:rsidRDefault="00260A4A" w:rsidP="00260A4A">
      <w:pPr>
        <w:keepLines/>
        <w:spacing w:line="360" w:lineRule="auto"/>
        <w:jc w:val="both"/>
        <w:rPr>
          <w:rFonts w:ascii="Verdana" w:hAnsi="Verdana"/>
        </w:rPr>
      </w:pPr>
    </w:p>
    <w:p w:rsidR="00260A4A" w:rsidRDefault="00260A4A" w:rsidP="00260A4A">
      <w:pPr>
        <w:keepLines/>
        <w:spacing w:line="360" w:lineRule="auto"/>
        <w:jc w:val="both"/>
        <w:rPr>
          <w:rFonts w:ascii="Verdana" w:hAnsi="Verdana"/>
        </w:rPr>
      </w:pPr>
    </w:p>
    <w:p w:rsidR="00260A4A" w:rsidRDefault="00260A4A" w:rsidP="00260A4A">
      <w:pPr>
        <w:keepLines/>
        <w:spacing w:line="360" w:lineRule="auto"/>
        <w:jc w:val="both"/>
        <w:rPr>
          <w:rFonts w:ascii="Verdana" w:hAnsi="Verdana"/>
        </w:rPr>
      </w:pPr>
    </w:p>
    <w:p w:rsidR="00260A4A" w:rsidRDefault="00260A4A" w:rsidP="00260A4A">
      <w:pPr>
        <w:keepLines/>
        <w:spacing w:line="360" w:lineRule="auto"/>
        <w:jc w:val="both"/>
        <w:rPr>
          <w:rFonts w:ascii="Verdana" w:hAnsi="Verdana"/>
        </w:rPr>
      </w:pPr>
    </w:p>
    <w:p w:rsidR="00260A4A" w:rsidRDefault="00260A4A" w:rsidP="00260A4A">
      <w:pPr>
        <w:keepLines/>
        <w:spacing w:line="360" w:lineRule="auto"/>
        <w:jc w:val="both"/>
        <w:rPr>
          <w:rFonts w:ascii="Verdana" w:hAnsi="Verdana"/>
        </w:rPr>
      </w:pPr>
    </w:p>
    <w:p w:rsidR="00264E4E" w:rsidRDefault="00264E4E" w:rsidP="00260A4A">
      <w:pPr>
        <w:keepLines/>
        <w:spacing w:line="360" w:lineRule="auto"/>
        <w:jc w:val="both"/>
        <w:rPr>
          <w:rFonts w:ascii="Verdana" w:hAnsi="Verdana"/>
        </w:rPr>
      </w:pPr>
      <w:r>
        <w:rPr>
          <w:rFonts w:ascii="Verdana" w:hAnsi="Verdana"/>
        </w:rPr>
        <w:t xml:space="preserve">En el ámbito laboral, también el reparto no ha sido equitativo, volviendo a castigar nuevamente a los colectivos más </w:t>
      </w:r>
      <w:r w:rsidR="00FC0598">
        <w:rPr>
          <w:rFonts w:ascii="Verdana" w:hAnsi="Verdana"/>
        </w:rPr>
        <w:t>precarios</w:t>
      </w:r>
      <w:r>
        <w:rPr>
          <w:rFonts w:ascii="Verdana" w:hAnsi="Verdana"/>
        </w:rPr>
        <w:t xml:space="preserve">. </w:t>
      </w:r>
      <w:r w:rsidR="001D1435">
        <w:rPr>
          <w:rFonts w:ascii="Verdana" w:hAnsi="Verdana"/>
        </w:rPr>
        <w:t>Las medidas más duras para luchar contra el virus, como cierres o limitaciones de aforo, afectaron de manera más intensa a actividades económicas como la hostelería o el comercio</w:t>
      </w:r>
      <w:r w:rsidR="00FC0598">
        <w:rPr>
          <w:rFonts w:ascii="Verdana" w:hAnsi="Verdana"/>
        </w:rPr>
        <w:t>, empleos además muy feminizados</w:t>
      </w:r>
      <w:r w:rsidR="001D1435">
        <w:rPr>
          <w:rFonts w:ascii="Verdana" w:hAnsi="Verdana"/>
        </w:rPr>
        <w:t xml:space="preserve">. Actividades que en términos generales suelen caracterizarse por salarios más bajos y una mayor precariedad laboral, por lo que aquellos trabajadores con empleos más precarios y salarios más bajos han sido </w:t>
      </w:r>
      <w:r w:rsidR="00EF7887">
        <w:rPr>
          <w:rFonts w:ascii="Verdana" w:hAnsi="Verdana"/>
        </w:rPr>
        <w:t>nuevamente los más castigados por el parón de la actividad. Por el contrario, empleos más cualificados se han visto menos afectados por las restricciones y han podido mantener sus actividad gracias a herramientas como el teletrabajo.</w:t>
      </w:r>
    </w:p>
    <w:p w:rsidR="00EF7887" w:rsidRDefault="00EF6645" w:rsidP="008A6245">
      <w:pPr>
        <w:spacing w:line="360" w:lineRule="auto"/>
        <w:jc w:val="both"/>
        <w:rPr>
          <w:rFonts w:ascii="Verdana" w:hAnsi="Verdana"/>
        </w:rPr>
      </w:pPr>
      <w:r>
        <w:rPr>
          <w:rFonts w:ascii="Verdana" w:hAnsi="Verdana"/>
        </w:rPr>
        <w:t>Si bien, l</w:t>
      </w:r>
      <w:r w:rsidR="00EF7887">
        <w:rPr>
          <w:rFonts w:ascii="Verdana" w:hAnsi="Verdana"/>
        </w:rPr>
        <w:t>a pandemia ha afectado en mayor medida a las personas que partían de una situación más desfavorable, también se han visto afectadas personas que hasta ahora no había</w:t>
      </w:r>
      <w:r>
        <w:rPr>
          <w:rFonts w:ascii="Verdana" w:hAnsi="Verdana"/>
        </w:rPr>
        <w:t>n</w:t>
      </w:r>
      <w:r w:rsidR="00EF7887">
        <w:rPr>
          <w:rFonts w:ascii="Verdana" w:hAnsi="Verdana"/>
        </w:rPr>
        <w:t xml:space="preserve"> necesitado ayuda.</w:t>
      </w:r>
      <w:r w:rsidR="00036710">
        <w:rPr>
          <w:rFonts w:ascii="Verdana" w:hAnsi="Verdana"/>
        </w:rPr>
        <w:t xml:space="preserve"> </w:t>
      </w:r>
      <w:r>
        <w:rPr>
          <w:rFonts w:ascii="Verdana" w:hAnsi="Verdana"/>
        </w:rPr>
        <w:t>De manera que</w:t>
      </w:r>
      <w:r w:rsidR="00036710">
        <w:rPr>
          <w:rFonts w:ascii="Verdana" w:hAnsi="Verdana"/>
        </w:rPr>
        <w:t xml:space="preserve"> muchas familias se han visto obligadas </w:t>
      </w:r>
      <w:r w:rsidR="00EC52E0">
        <w:rPr>
          <w:rFonts w:ascii="Verdana" w:hAnsi="Verdana"/>
        </w:rPr>
        <w:t xml:space="preserve">a acudir a </w:t>
      </w:r>
      <w:r>
        <w:rPr>
          <w:rFonts w:ascii="Verdana" w:hAnsi="Verdana"/>
        </w:rPr>
        <w:t>las llamadas “colas del hambre”.</w:t>
      </w:r>
    </w:p>
    <w:p w:rsidR="004D2A8D" w:rsidRDefault="005B2B5F" w:rsidP="008A6245">
      <w:pPr>
        <w:spacing w:line="360" w:lineRule="auto"/>
        <w:jc w:val="both"/>
        <w:rPr>
          <w:rFonts w:ascii="Verdana" w:hAnsi="Verdana"/>
        </w:rPr>
      </w:pPr>
      <w:r>
        <w:rPr>
          <w:rFonts w:ascii="Verdana" w:hAnsi="Verdana"/>
        </w:rPr>
        <w:t>El contar con un gobierno progresista en nuestro país posibilitó alcanzar importantes acuerdos en el ámbito del diálogo social</w:t>
      </w:r>
      <w:r w:rsidR="0075515C">
        <w:rPr>
          <w:rFonts w:ascii="Verdana" w:hAnsi="Verdana"/>
        </w:rPr>
        <w:t xml:space="preserve"> en lo</w:t>
      </w:r>
      <w:r w:rsidR="004D2A8D">
        <w:rPr>
          <w:rFonts w:ascii="Verdana" w:hAnsi="Verdana"/>
        </w:rPr>
        <w:t>s momentos</w:t>
      </w:r>
      <w:r w:rsidR="0075515C">
        <w:rPr>
          <w:rFonts w:ascii="Verdana" w:hAnsi="Verdana"/>
        </w:rPr>
        <w:t xml:space="preserve"> más duro</w:t>
      </w:r>
      <w:r w:rsidR="004D2A8D">
        <w:rPr>
          <w:rFonts w:ascii="Verdana" w:hAnsi="Verdana"/>
        </w:rPr>
        <w:t>s</w:t>
      </w:r>
      <w:r w:rsidR="0075515C">
        <w:rPr>
          <w:rFonts w:ascii="Verdana" w:hAnsi="Verdana"/>
        </w:rPr>
        <w:t xml:space="preserve"> de la pandemia y que han contribuido sin duda a contener el aumento de la pobreza. </w:t>
      </w:r>
      <w:r>
        <w:rPr>
          <w:rFonts w:ascii="Verdana" w:hAnsi="Verdana"/>
        </w:rPr>
        <w:t xml:space="preserve">El ejemplo más destacado han sido los ERTES </w:t>
      </w:r>
      <w:proofErr w:type="spellStart"/>
      <w:r>
        <w:rPr>
          <w:rFonts w:ascii="Verdana" w:hAnsi="Verdana"/>
        </w:rPr>
        <w:t>Covid</w:t>
      </w:r>
      <w:proofErr w:type="spellEnd"/>
      <w:r>
        <w:rPr>
          <w:rFonts w:ascii="Verdana" w:hAnsi="Verdana"/>
        </w:rPr>
        <w:t xml:space="preserve"> que se han demostrado como una herramienta fundamental al evitar despidos masivos y cierres de empresas, a la vez que se garantizaban la renta de los hogares. </w:t>
      </w:r>
    </w:p>
    <w:p w:rsidR="008F47AE" w:rsidRDefault="005B2B5F" w:rsidP="00260A4A">
      <w:pPr>
        <w:keepLines/>
        <w:spacing w:line="360" w:lineRule="auto"/>
        <w:jc w:val="both"/>
        <w:rPr>
          <w:rFonts w:ascii="Verdana" w:hAnsi="Verdana"/>
        </w:rPr>
      </w:pPr>
      <w:r>
        <w:rPr>
          <w:rFonts w:ascii="Verdana" w:hAnsi="Verdana"/>
        </w:rPr>
        <w:lastRenderedPageBreak/>
        <w:t>En el caso d</w:t>
      </w:r>
      <w:r w:rsidR="00BB6FF5">
        <w:rPr>
          <w:rFonts w:ascii="Verdana" w:hAnsi="Verdana"/>
        </w:rPr>
        <w:t xml:space="preserve">e los ERTES, nuevamente hay un agravio entre los trabajadores precarios, </w:t>
      </w:r>
      <w:r w:rsidR="004D2A8D">
        <w:rPr>
          <w:rFonts w:ascii="Verdana" w:hAnsi="Verdana"/>
        </w:rPr>
        <w:t>debido a que</w:t>
      </w:r>
      <w:r w:rsidR="0075515C">
        <w:rPr>
          <w:rFonts w:ascii="Verdana" w:hAnsi="Verdana"/>
        </w:rPr>
        <w:t xml:space="preserve"> en su mayoría </w:t>
      </w:r>
      <w:r w:rsidR="004D2A8D">
        <w:rPr>
          <w:rFonts w:ascii="Verdana" w:hAnsi="Verdana"/>
        </w:rPr>
        <w:t xml:space="preserve">tenían </w:t>
      </w:r>
      <w:r w:rsidR="0075515C">
        <w:rPr>
          <w:rFonts w:ascii="Verdana" w:hAnsi="Verdana"/>
        </w:rPr>
        <w:t xml:space="preserve">contratos temporales </w:t>
      </w:r>
      <w:r w:rsidR="004D2A8D">
        <w:rPr>
          <w:rFonts w:ascii="Verdana" w:hAnsi="Verdana"/>
        </w:rPr>
        <w:t xml:space="preserve">por lo que </w:t>
      </w:r>
      <w:r w:rsidR="0075515C">
        <w:rPr>
          <w:rFonts w:ascii="Verdana" w:hAnsi="Verdana"/>
        </w:rPr>
        <w:t>han sido los primeros en ser</w:t>
      </w:r>
      <w:r w:rsidR="004D2A8D">
        <w:rPr>
          <w:rFonts w:ascii="Verdana" w:hAnsi="Verdana"/>
        </w:rPr>
        <w:t xml:space="preserve"> expulsados del mercado laboral. Asimismo, </w:t>
      </w:r>
      <w:r w:rsidR="0075515C">
        <w:rPr>
          <w:rFonts w:ascii="Verdana" w:hAnsi="Verdana"/>
        </w:rPr>
        <w:t xml:space="preserve">los trabajadores que antes del COVID tenían empleos a tiempo parcial (fundamentalmente mujeres) han visto </w:t>
      </w:r>
      <w:r w:rsidR="004D2A8D">
        <w:rPr>
          <w:rFonts w:ascii="Verdana" w:hAnsi="Verdana"/>
        </w:rPr>
        <w:t>mermar notablemente</w:t>
      </w:r>
      <w:r w:rsidR="0075515C">
        <w:rPr>
          <w:rFonts w:ascii="Verdana" w:hAnsi="Verdana"/>
        </w:rPr>
        <w:t xml:space="preserve"> sus ingresos</w:t>
      </w:r>
      <w:r w:rsidR="004D2A8D">
        <w:rPr>
          <w:rFonts w:ascii="Verdana" w:hAnsi="Verdana"/>
        </w:rPr>
        <w:t xml:space="preserve"> al partir de unas bases reguladoras menores</w:t>
      </w:r>
      <w:r w:rsidR="0075515C">
        <w:rPr>
          <w:rFonts w:ascii="Verdana" w:hAnsi="Verdana"/>
        </w:rPr>
        <w:t xml:space="preserve">. </w:t>
      </w:r>
      <w:r w:rsidR="004D2A8D">
        <w:rPr>
          <w:rFonts w:ascii="Verdana" w:hAnsi="Verdana"/>
        </w:rPr>
        <w:t>A lo que se añade un elevado número de</w:t>
      </w:r>
      <w:r w:rsidR="0075515C">
        <w:rPr>
          <w:rFonts w:ascii="Verdana" w:hAnsi="Verdana"/>
        </w:rPr>
        <w:t xml:space="preserve"> personas que se </w:t>
      </w:r>
      <w:r w:rsidR="008F47AE">
        <w:rPr>
          <w:rFonts w:ascii="Verdana" w:hAnsi="Verdana"/>
        </w:rPr>
        <w:t>encontraban</w:t>
      </w:r>
      <w:r w:rsidR="0075515C">
        <w:rPr>
          <w:rFonts w:ascii="Verdana" w:hAnsi="Verdana"/>
        </w:rPr>
        <w:t xml:space="preserve"> emplead</w:t>
      </w:r>
      <w:r w:rsidR="008F47AE">
        <w:rPr>
          <w:rFonts w:ascii="Verdana" w:hAnsi="Verdana"/>
        </w:rPr>
        <w:t>a</w:t>
      </w:r>
      <w:r w:rsidR="0075515C">
        <w:rPr>
          <w:rFonts w:ascii="Verdana" w:hAnsi="Verdana"/>
        </w:rPr>
        <w:t xml:space="preserve">s en la llamada “economía informal” </w:t>
      </w:r>
      <w:r w:rsidR="004D2A8D">
        <w:rPr>
          <w:rFonts w:ascii="Verdana" w:hAnsi="Verdana"/>
        </w:rPr>
        <w:t xml:space="preserve">que </w:t>
      </w:r>
      <w:r w:rsidR="008F47AE">
        <w:rPr>
          <w:rFonts w:ascii="Verdana" w:hAnsi="Verdana"/>
        </w:rPr>
        <w:t xml:space="preserve">no </w:t>
      </w:r>
      <w:r w:rsidR="0075515C">
        <w:rPr>
          <w:rFonts w:ascii="Verdana" w:hAnsi="Verdana"/>
        </w:rPr>
        <w:t xml:space="preserve">se han </w:t>
      </w:r>
      <w:r w:rsidR="008F47AE">
        <w:rPr>
          <w:rFonts w:ascii="Verdana" w:hAnsi="Verdana"/>
        </w:rPr>
        <w:t xml:space="preserve">podido acoger a medidas como los ERTES y otras medidas de protección social. </w:t>
      </w:r>
      <w:r w:rsidR="004D2A8D">
        <w:rPr>
          <w:rFonts w:ascii="Verdana" w:hAnsi="Verdana"/>
        </w:rPr>
        <w:t>Circunstancias que</w:t>
      </w:r>
      <w:r w:rsidR="008F47AE">
        <w:rPr>
          <w:rFonts w:ascii="Verdana" w:hAnsi="Verdana"/>
        </w:rPr>
        <w:t xml:space="preserve"> ha</w:t>
      </w:r>
      <w:r w:rsidR="004D2A8D">
        <w:rPr>
          <w:rFonts w:ascii="Verdana" w:hAnsi="Verdana"/>
        </w:rPr>
        <w:t>n</w:t>
      </w:r>
      <w:r w:rsidR="008F47AE">
        <w:rPr>
          <w:rFonts w:ascii="Verdana" w:hAnsi="Verdana"/>
        </w:rPr>
        <w:t xml:space="preserve"> provocado una caída brusca en las rentas familiares disparando los niveles de pobreza.</w:t>
      </w:r>
    </w:p>
    <w:p w:rsidR="0075515C" w:rsidRDefault="008F47AE" w:rsidP="008A6245">
      <w:pPr>
        <w:spacing w:line="360" w:lineRule="auto"/>
        <w:jc w:val="both"/>
        <w:rPr>
          <w:rFonts w:ascii="Verdana" w:hAnsi="Verdana"/>
        </w:rPr>
      </w:pPr>
      <w:r>
        <w:rPr>
          <w:rFonts w:ascii="Verdana" w:hAnsi="Verdana"/>
        </w:rPr>
        <w:t>T</w:t>
      </w:r>
      <w:r w:rsidR="0075515C">
        <w:rPr>
          <w:rFonts w:ascii="Verdana" w:hAnsi="Verdana"/>
        </w:rPr>
        <w:t>ambién se pusieron en marcha medidas de calado en el ámbito de la protección social, como el ingreso mínimo vital, si bien los requisitos de acceso han impedido que llegara a un mayor número de beneficiarios. Otras medidas fueron el subsidio para empleadas de hogar, barreras para el corte de suministros de luz, gas y agua en hogares vulnerables.</w:t>
      </w:r>
    </w:p>
    <w:p w:rsidR="00755F2A" w:rsidRDefault="0075515C" w:rsidP="008A6245">
      <w:pPr>
        <w:spacing w:line="360" w:lineRule="auto"/>
        <w:jc w:val="both"/>
        <w:rPr>
          <w:rFonts w:ascii="Verdana" w:hAnsi="Verdana"/>
        </w:rPr>
      </w:pPr>
      <w:r>
        <w:rPr>
          <w:rFonts w:ascii="Verdana" w:hAnsi="Verdana"/>
        </w:rPr>
        <w:t>Estas medidas si bien positivas se han mostrado insuficientes a la hora de solucionar la situación. Por ello es necesario seguir r</w:t>
      </w:r>
      <w:r w:rsidR="004D2A8D">
        <w:rPr>
          <w:rFonts w:ascii="Verdana" w:hAnsi="Verdana"/>
        </w:rPr>
        <w:t>eforzando la protección social, dotando</w:t>
      </w:r>
      <w:r>
        <w:rPr>
          <w:rFonts w:ascii="Verdana" w:hAnsi="Verdana"/>
        </w:rPr>
        <w:t xml:space="preserve"> de mayores recursos a los servicios públicos</w:t>
      </w:r>
      <w:r w:rsidR="004D2A8D">
        <w:rPr>
          <w:rFonts w:ascii="Verdana" w:hAnsi="Verdana"/>
        </w:rPr>
        <w:t>, además de prolongar la duración de ciertas medidas aprobadas en lo más duro de la pandemia para evitar “no dejar a nadie atrás”.</w:t>
      </w:r>
    </w:p>
    <w:p w:rsidR="00755F2A" w:rsidRDefault="004F34AA" w:rsidP="008A6245">
      <w:pPr>
        <w:spacing w:line="360" w:lineRule="auto"/>
        <w:jc w:val="both"/>
        <w:rPr>
          <w:rFonts w:ascii="Verdana" w:hAnsi="Verdana"/>
        </w:rPr>
      </w:pPr>
      <w:r>
        <w:rPr>
          <w:rFonts w:ascii="Verdana" w:hAnsi="Verdana"/>
        </w:rPr>
        <w:t xml:space="preserve">La pandemia también dejó al descubierto la existencia de la brecha digital, durante el confinamiento la educación presencial en todas las etapas educativas fue sustituida por la educación </w:t>
      </w:r>
      <w:proofErr w:type="spellStart"/>
      <w:r>
        <w:rPr>
          <w:rFonts w:ascii="Verdana" w:hAnsi="Verdana"/>
        </w:rPr>
        <w:t>on</w:t>
      </w:r>
      <w:proofErr w:type="spellEnd"/>
      <w:r>
        <w:rPr>
          <w:rFonts w:ascii="Verdana" w:hAnsi="Verdana"/>
        </w:rPr>
        <w:t xml:space="preserve"> line. </w:t>
      </w:r>
      <w:r w:rsidR="00CA6F0F">
        <w:rPr>
          <w:rFonts w:ascii="Verdana" w:hAnsi="Verdana"/>
        </w:rPr>
        <w:t>Muchas familias carecían de los medios necesarios para continuar con la formación</w:t>
      </w:r>
      <w:r w:rsidR="004D2A8D">
        <w:rPr>
          <w:rFonts w:ascii="Verdana" w:hAnsi="Verdana"/>
        </w:rPr>
        <w:t>,</w:t>
      </w:r>
      <w:r w:rsidR="00CA6F0F">
        <w:rPr>
          <w:rFonts w:ascii="Verdana" w:hAnsi="Verdana"/>
        </w:rPr>
        <w:t xml:space="preserve"> como </w:t>
      </w:r>
      <w:r w:rsidR="004D2A8D">
        <w:rPr>
          <w:rFonts w:ascii="Verdana" w:hAnsi="Verdana"/>
        </w:rPr>
        <w:t xml:space="preserve">disponer de </w:t>
      </w:r>
      <w:r w:rsidR="00CA6F0F">
        <w:rPr>
          <w:rFonts w:ascii="Verdana" w:hAnsi="Verdana"/>
        </w:rPr>
        <w:t>un ordenador o conexión a Internet. Las familias vulnerables se han visto nuevament</w:t>
      </w:r>
      <w:r w:rsidR="009351BA">
        <w:rPr>
          <w:rFonts w:ascii="Verdana" w:hAnsi="Verdana"/>
        </w:rPr>
        <w:t xml:space="preserve">e perjudicadas al no poder </w:t>
      </w:r>
      <w:r w:rsidR="004D2A8D">
        <w:rPr>
          <w:rFonts w:ascii="Verdana" w:hAnsi="Verdana"/>
        </w:rPr>
        <w:t>seguir</w:t>
      </w:r>
      <w:r w:rsidR="009351BA">
        <w:rPr>
          <w:rFonts w:ascii="Verdana" w:hAnsi="Verdana"/>
        </w:rPr>
        <w:t xml:space="preserve"> la formación en igualdad de condiciones que el resto de alumnos. </w:t>
      </w:r>
      <w:r w:rsidR="004D2A8D">
        <w:rPr>
          <w:rFonts w:ascii="Verdana" w:hAnsi="Verdana"/>
        </w:rPr>
        <w:t>Por ello, h</w:t>
      </w:r>
      <w:r w:rsidR="009351BA">
        <w:rPr>
          <w:rFonts w:ascii="Verdana" w:hAnsi="Verdana"/>
        </w:rPr>
        <w:t xml:space="preserve">ay que </w:t>
      </w:r>
      <w:r w:rsidR="004D2A8D">
        <w:rPr>
          <w:rFonts w:ascii="Verdana" w:hAnsi="Verdana"/>
        </w:rPr>
        <w:t>luchar contra</w:t>
      </w:r>
      <w:r w:rsidR="009351BA">
        <w:rPr>
          <w:rFonts w:ascii="Verdana" w:hAnsi="Verdana"/>
        </w:rPr>
        <w:t xml:space="preserve"> la brecha digital para evitar que una herramienta </w:t>
      </w:r>
      <w:r w:rsidR="004D2A8D">
        <w:rPr>
          <w:rFonts w:ascii="Verdana" w:hAnsi="Verdana"/>
        </w:rPr>
        <w:t xml:space="preserve">que garantiza la cohesión social, como es la educación, </w:t>
      </w:r>
      <w:r w:rsidR="009351BA">
        <w:rPr>
          <w:rFonts w:ascii="Verdana" w:hAnsi="Verdana"/>
        </w:rPr>
        <w:t>genere el efecto contrario, y suponga una barrera</w:t>
      </w:r>
      <w:r w:rsidR="004D2A8D">
        <w:rPr>
          <w:rFonts w:ascii="Verdana" w:hAnsi="Verdana"/>
        </w:rPr>
        <w:t xml:space="preserve"> más</w:t>
      </w:r>
      <w:r w:rsidR="009351BA">
        <w:rPr>
          <w:rFonts w:ascii="Verdana" w:hAnsi="Verdana"/>
        </w:rPr>
        <w:t>.</w:t>
      </w:r>
    </w:p>
    <w:p w:rsidR="00260A4A" w:rsidRDefault="00260A4A" w:rsidP="008A6245">
      <w:pPr>
        <w:spacing w:line="360" w:lineRule="auto"/>
        <w:jc w:val="both"/>
        <w:rPr>
          <w:rFonts w:ascii="Verdana" w:hAnsi="Verdana"/>
        </w:rPr>
      </w:pPr>
    </w:p>
    <w:p w:rsidR="00260A4A" w:rsidRDefault="00260A4A" w:rsidP="008A6245">
      <w:pPr>
        <w:spacing w:line="360" w:lineRule="auto"/>
        <w:jc w:val="both"/>
        <w:rPr>
          <w:rFonts w:ascii="Verdana" w:hAnsi="Verdana"/>
        </w:rPr>
      </w:pPr>
    </w:p>
    <w:p w:rsidR="00755F2A" w:rsidRDefault="004D2A8D" w:rsidP="008A6245">
      <w:pPr>
        <w:spacing w:line="360" w:lineRule="auto"/>
        <w:jc w:val="both"/>
        <w:rPr>
          <w:rFonts w:ascii="Verdana" w:hAnsi="Verdana"/>
        </w:rPr>
      </w:pPr>
      <w:r>
        <w:rPr>
          <w:rFonts w:ascii="Verdana" w:hAnsi="Verdana"/>
        </w:rPr>
        <w:t xml:space="preserve">A pesar de lo duro de la situación hay que destacar </w:t>
      </w:r>
      <w:r w:rsidR="009351BA">
        <w:rPr>
          <w:rFonts w:ascii="Verdana" w:hAnsi="Verdana"/>
        </w:rPr>
        <w:t xml:space="preserve">la forma de afrontar esta crisis en comparación con la del año 2008, donde </w:t>
      </w:r>
      <w:r>
        <w:rPr>
          <w:rFonts w:ascii="Verdana" w:hAnsi="Verdana"/>
        </w:rPr>
        <w:t xml:space="preserve">se optó únicamente por </w:t>
      </w:r>
      <w:r w:rsidR="009351BA">
        <w:rPr>
          <w:rFonts w:ascii="Verdana" w:hAnsi="Verdana"/>
        </w:rPr>
        <w:t xml:space="preserve">los recortes en el estado del bienestar </w:t>
      </w:r>
      <w:r>
        <w:rPr>
          <w:rFonts w:ascii="Verdana" w:hAnsi="Verdana"/>
        </w:rPr>
        <w:t>y cuyas</w:t>
      </w:r>
      <w:r w:rsidR="009351BA">
        <w:rPr>
          <w:rFonts w:ascii="Verdana" w:hAnsi="Verdana"/>
        </w:rPr>
        <w:t xml:space="preserve"> consecuencias </w:t>
      </w:r>
      <w:r>
        <w:rPr>
          <w:rFonts w:ascii="Verdana" w:hAnsi="Verdana"/>
        </w:rPr>
        <w:t xml:space="preserve">han sido </w:t>
      </w:r>
      <w:r w:rsidR="009351BA">
        <w:rPr>
          <w:rFonts w:ascii="Verdana" w:hAnsi="Verdana"/>
        </w:rPr>
        <w:t>devastadoras para la población más vulnerable</w:t>
      </w:r>
      <w:r w:rsidR="00F347EF">
        <w:rPr>
          <w:rFonts w:ascii="Verdana" w:hAnsi="Verdana"/>
        </w:rPr>
        <w:t>.</w:t>
      </w:r>
    </w:p>
    <w:p w:rsidR="004F34AA" w:rsidRPr="005A389E" w:rsidRDefault="004F34AA" w:rsidP="004F34AA">
      <w:pPr>
        <w:spacing w:line="360" w:lineRule="auto"/>
        <w:jc w:val="both"/>
        <w:rPr>
          <w:rFonts w:ascii="Verdana" w:hAnsi="Verdana"/>
        </w:rPr>
      </w:pPr>
      <w:r>
        <w:rPr>
          <w:rFonts w:ascii="Verdana" w:hAnsi="Verdana"/>
        </w:rPr>
        <w:t xml:space="preserve">Si algo nos ha enseñado la pandemia es que nadie pone en duda la </w:t>
      </w:r>
      <w:r w:rsidRPr="004F34AA">
        <w:rPr>
          <w:rFonts w:ascii="Verdana" w:hAnsi="Verdana"/>
        </w:rPr>
        <w:t>importancia de contar con unos servicios públicos de calidad</w:t>
      </w:r>
      <w:r>
        <w:rPr>
          <w:rFonts w:ascii="Verdana" w:hAnsi="Verdana"/>
        </w:rPr>
        <w:t xml:space="preserve"> y de la necesidad de </w:t>
      </w:r>
      <w:r w:rsidRPr="005A389E">
        <w:rPr>
          <w:rFonts w:ascii="Verdana" w:hAnsi="Verdana"/>
        </w:rPr>
        <w:t xml:space="preserve">reforzar los </w:t>
      </w:r>
      <w:r>
        <w:rPr>
          <w:rFonts w:ascii="Verdana" w:hAnsi="Verdana"/>
        </w:rPr>
        <w:t>mismos</w:t>
      </w:r>
      <w:r w:rsidRPr="005A389E">
        <w:rPr>
          <w:rFonts w:ascii="Verdana" w:hAnsi="Verdana"/>
        </w:rPr>
        <w:t xml:space="preserve"> tras los duros recortes que sufrieron en la anterior crisis.</w:t>
      </w:r>
    </w:p>
    <w:p w:rsidR="004F34AA" w:rsidRDefault="004F34AA" w:rsidP="004F34AA">
      <w:pPr>
        <w:spacing w:line="360" w:lineRule="auto"/>
        <w:jc w:val="both"/>
        <w:rPr>
          <w:rFonts w:ascii="Verdana" w:hAnsi="Verdana"/>
        </w:rPr>
      </w:pPr>
      <w:r w:rsidRPr="004F34AA">
        <w:rPr>
          <w:rFonts w:ascii="Verdana" w:hAnsi="Verdana"/>
        </w:rPr>
        <w:t>La recuperación económica y social pasa por empleos de calidad con salarios dignos y el fortalecimiento del estado del bienestar. Siendo condiciones imprescindibles para un reparto equitativo e igualitario de la riqueza y con ello reducir las desigualdades y garantizar la igualdad de oportunidades. La redistribución de la riqueza requiere de servicios públicos gratuitos, universales y de calidad, un sistema de protección social fuerte.</w:t>
      </w:r>
    </w:p>
    <w:p w:rsidR="00F347EF" w:rsidRPr="004F34AA" w:rsidRDefault="00F347EF" w:rsidP="004F34AA">
      <w:pPr>
        <w:spacing w:line="360" w:lineRule="auto"/>
        <w:jc w:val="both"/>
        <w:rPr>
          <w:rFonts w:ascii="Verdana" w:hAnsi="Verdana"/>
        </w:rPr>
      </w:pPr>
      <w:r>
        <w:rPr>
          <w:rFonts w:ascii="Verdana" w:hAnsi="Verdana"/>
        </w:rPr>
        <w:t xml:space="preserve">En este contexto de aumento de la pobreza </w:t>
      </w:r>
      <w:r w:rsidR="00260A4A">
        <w:rPr>
          <w:rFonts w:ascii="Verdana" w:hAnsi="Verdana"/>
        </w:rPr>
        <w:t xml:space="preserve">para la UGT </w:t>
      </w:r>
      <w:r>
        <w:rPr>
          <w:rFonts w:ascii="Verdana" w:hAnsi="Verdana"/>
        </w:rPr>
        <w:t xml:space="preserve">es irrenunciable la subida del SMI, medida que ayudará a los trabajadores con los salarios más bajos y en la mayoría de los casos fueron considerados como “esenciales” </w:t>
      </w:r>
      <w:r w:rsidR="00260A4A">
        <w:rPr>
          <w:rFonts w:ascii="Verdana" w:hAnsi="Verdana"/>
        </w:rPr>
        <w:t>en</w:t>
      </w:r>
      <w:r>
        <w:rPr>
          <w:rFonts w:ascii="Verdana" w:hAnsi="Verdana"/>
        </w:rPr>
        <w:t xml:space="preserve"> los momentos más duros de la pandemia.</w:t>
      </w:r>
    </w:p>
    <w:p w:rsidR="005B1AE8" w:rsidRDefault="005B1AE8" w:rsidP="004F6B7E">
      <w:pPr>
        <w:jc w:val="both"/>
        <w:rPr>
          <w:rFonts w:ascii="Verdana" w:hAnsi="Verdana"/>
        </w:rPr>
      </w:pPr>
    </w:p>
    <w:p w:rsidR="00CD6AA3" w:rsidRDefault="00CD6AA3" w:rsidP="004F6B7E">
      <w:pPr>
        <w:jc w:val="both"/>
        <w:rPr>
          <w:rFonts w:ascii="Verdana" w:hAnsi="Verdana"/>
        </w:rPr>
      </w:pPr>
    </w:p>
    <w:p w:rsidR="00CD6AA3" w:rsidRDefault="00CD6AA3" w:rsidP="004F6B7E">
      <w:pPr>
        <w:jc w:val="both"/>
        <w:rPr>
          <w:rFonts w:ascii="Verdana" w:hAnsi="Verdana"/>
        </w:rPr>
      </w:pPr>
    </w:p>
    <w:p w:rsidR="00260A4A" w:rsidRDefault="00260A4A" w:rsidP="004F6B7E">
      <w:pPr>
        <w:jc w:val="both"/>
        <w:rPr>
          <w:rFonts w:ascii="Verdana" w:hAnsi="Verdana"/>
        </w:rPr>
      </w:pPr>
    </w:p>
    <w:p w:rsidR="00260A4A" w:rsidRDefault="00260A4A" w:rsidP="004F6B7E">
      <w:pPr>
        <w:jc w:val="both"/>
        <w:rPr>
          <w:rFonts w:ascii="Verdana" w:hAnsi="Verdana"/>
        </w:rPr>
      </w:pPr>
    </w:p>
    <w:p w:rsidR="00260A4A" w:rsidRDefault="00260A4A" w:rsidP="004F6B7E">
      <w:pPr>
        <w:jc w:val="both"/>
        <w:rPr>
          <w:rFonts w:ascii="Verdana" w:hAnsi="Verdana"/>
        </w:rPr>
      </w:pPr>
    </w:p>
    <w:p w:rsidR="00260A4A" w:rsidRDefault="00260A4A" w:rsidP="004F6B7E">
      <w:pPr>
        <w:jc w:val="both"/>
        <w:rPr>
          <w:rFonts w:ascii="Verdana" w:hAnsi="Verdana"/>
        </w:rPr>
      </w:pPr>
    </w:p>
    <w:p w:rsidR="00260A4A" w:rsidRDefault="00260A4A" w:rsidP="004F6B7E">
      <w:pPr>
        <w:jc w:val="both"/>
        <w:rPr>
          <w:rFonts w:ascii="Verdana" w:hAnsi="Verdana"/>
        </w:rPr>
      </w:pPr>
    </w:p>
    <w:p w:rsidR="00260A4A" w:rsidRDefault="00260A4A" w:rsidP="004F6B7E">
      <w:pPr>
        <w:jc w:val="both"/>
        <w:rPr>
          <w:rFonts w:ascii="Verdana" w:hAnsi="Verdana"/>
        </w:rPr>
      </w:pPr>
    </w:p>
    <w:p w:rsidR="00260A4A" w:rsidRDefault="00260A4A" w:rsidP="004F6B7E">
      <w:pPr>
        <w:jc w:val="both"/>
        <w:rPr>
          <w:rFonts w:ascii="Verdana" w:hAnsi="Verdana"/>
        </w:rPr>
      </w:pPr>
    </w:p>
    <w:p w:rsidR="005B1AE8" w:rsidRPr="005A389E" w:rsidRDefault="005B1AE8" w:rsidP="004F6B7E">
      <w:pPr>
        <w:jc w:val="both"/>
        <w:rPr>
          <w:rFonts w:ascii="Verdana" w:hAnsi="Verdana"/>
        </w:rPr>
      </w:pPr>
    </w:p>
    <w:p w:rsidR="007A02F2" w:rsidRPr="005A389E" w:rsidRDefault="007A02F2" w:rsidP="00286F9F">
      <w:pPr>
        <w:pStyle w:val="Prrafodelista"/>
        <w:numPr>
          <w:ilvl w:val="0"/>
          <w:numId w:val="3"/>
        </w:numPr>
        <w:pBdr>
          <w:bottom w:val="single" w:sz="4" w:space="1" w:color="5F497A" w:themeColor="accent4" w:themeShade="BF"/>
        </w:pBdr>
        <w:jc w:val="both"/>
        <w:rPr>
          <w:rFonts w:asciiTheme="majorHAnsi" w:eastAsiaTheme="majorEastAsia" w:hAnsiTheme="majorHAnsi" w:cstheme="majorBidi"/>
          <w:color w:val="7030A0"/>
          <w:spacing w:val="5"/>
          <w:kern w:val="28"/>
          <w:sz w:val="52"/>
          <w:szCs w:val="52"/>
        </w:rPr>
      </w:pPr>
      <w:r w:rsidRPr="005A389E">
        <w:rPr>
          <w:rFonts w:asciiTheme="majorHAnsi" w:eastAsiaTheme="majorEastAsia" w:hAnsiTheme="majorHAnsi" w:cstheme="majorBidi"/>
          <w:color w:val="7030A0"/>
          <w:spacing w:val="5"/>
          <w:kern w:val="28"/>
          <w:sz w:val="52"/>
          <w:szCs w:val="52"/>
        </w:rPr>
        <w:lastRenderedPageBreak/>
        <w:t>DATOS DE INTERÉS</w:t>
      </w:r>
    </w:p>
    <w:p w:rsidR="007A02F2" w:rsidRPr="00260A4A" w:rsidRDefault="007A02F2" w:rsidP="00286F9F">
      <w:pPr>
        <w:jc w:val="both"/>
        <w:rPr>
          <w:rFonts w:asciiTheme="majorHAnsi" w:eastAsiaTheme="majorEastAsia" w:hAnsiTheme="majorHAnsi" w:cstheme="majorBidi"/>
          <w:color w:val="7030A0"/>
          <w:spacing w:val="5"/>
          <w:kern w:val="28"/>
        </w:rPr>
      </w:pPr>
    </w:p>
    <w:p w:rsidR="0083075F" w:rsidRDefault="0083075F" w:rsidP="00D87D63">
      <w:pPr>
        <w:pStyle w:val="Prrafodelista"/>
        <w:numPr>
          <w:ilvl w:val="0"/>
          <w:numId w:val="18"/>
        </w:numPr>
        <w:spacing w:line="360" w:lineRule="auto"/>
        <w:jc w:val="both"/>
        <w:rPr>
          <w:rFonts w:ascii="Verdana" w:eastAsiaTheme="majorEastAsia" w:hAnsi="Verdana" w:cstheme="majorBidi"/>
          <w:spacing w:val="5"/>
          <w:kern w:val="28"/>
        </w:rPr>
      </w:pPr>
      <w:r w:rsidRPr="009E4856">
        <w:rPr>
          <w:rFonts w:ascii="Verdana" w:eastAsiaTheme="majorEastAsia" w:hAnsi="Verdana" w:cstheme="majorBidi"/>
          <w:b/>
          <w:color w:val="7030A0"/>
          <w:spacing w:val="5"/>
          <w:kern w:val="28"/>
        </w:rPr>
        <w:t>España</w:t>
      </w:r>
      <w:r>
        <w:rPr>
          <w:rFonts w:ascii="Verdana" w:eastAsiaTheme="majorEastAsia" w:hAnsi="Verdana" w:cstheme="majorBidi"/>
          <w:spacing w:val="5"/>
          <w:kern w:val="28"/>
        </w:rPr>
        <w:t xml:space="preserve"> se sitúa en las </w:t>
      </w:r>
      <w:r w:rsidRPr="009E4856">
        <w:rPr>
          <w:rFonts w:ascii="Verdana" w:eastAsiaTheme="majorEastAsia" w:hAnsi="Verdana" w:cstheme="majorBidi"/>
          <w:b/>
          <w:color w:val="7030A0"/>
          <w:spacing w:val="5"/>
          <w:kern w:val="28"/>
        </w:rPr>
        <w:t>primeras posiciones en tasas de pobreza</w:t>
      </w:r>
      <w:r w:rsidRPr="009E4856">
        <w:rPr>
          <w:rFonts w:ascii="Verdana" w:eastAsiaTheme="majorEastAsia" w:hAnsi="Verdana" w:cstheme="majorBidi"/>
          <w:color w:val="7030A0"/>
          <w:spacing w:val="5"/>
          <w:kern w:val="28"/>
        </w:rPr>
        <w:t xml:space="preserve"> y </w:t>
      </w:r>
      <w:r w:rsidRPr="009E4856">
        <w:rPr>
          <w:rFonts w:ascii="Verdana" w:eastAsiaTheme="majorEastAsia" w:hAnsi="Verdana" w:cstheme="majorBidi"/>
          <w:b/>
          <w:color w:val="7030A0"/>
          <w:spacing w:val="5"/>
          <w:kern w:val="28"/>
        </w:rPr>
        <w:t>exclusión social</w:t>
      </w:r>
      <w:r>
        <w:rPr>
          <w:rFonts w:ascii="Verdana" w:eastAsiaTheme="majorEastAsia" w:hAnsi="Verdana" w:cstheme="majorBidi"/>
          <w:spacing w:val="5"/>
          <w:kern w:val="28"/>
        </w:rPr>
        <w:t xml:space="preserve"> en el conjunto de países de la </w:t>
      </w:r>
      <w:r w:rsidRPr="009E4856">
        <w:rPr>
          <w:rFonts w:ascii="Verdana" w:eastAsiaTheme="majorEastAsia" w:hAnsi="Verdana" w:cstheme="majorBidi"/>
          <w:b/>
          <w:color w:val="7030A0"/>
          <w:spacing w:val="5"/>
          <w:kern w:val="28"/>
        </w:rPr>
        <w:t>Unión Europea</w:t>
      </w:r>
      <w:r>
        <w:rPr>
          <w:rFonts w:ascii="Verdana" w:eastAsiaTheme="majorEastAsia" w:hAnsi="Verdana" w:cstheme="majorBidi"/>
          <w:spacing w:val="5"/>
          <w:kern w:val="28"/>
        </w:rPr>
        <w:t>, con la cuarta mayor tasa, por detr</w:t>
      </w:r>
      <w:r w:rsidR="00237066">
        <w:rPr>
          <w:rFonts w:ascii="Verdana" w:eastAsiaTheme="majorEastAsia" w:hAnsi="Verdana" w:cstheme="majorBidi"/>
          <w:spacing w:val="5"/>
          <w:kern w:val="28"/>
        </w:rPr>
        <w:t>ás de Rumanía, Grecia y Letonia</w:t>
      </w:r>
    </w:p>
    <w:p w:rsidR="0083075F" w:rsidRDefault="0083075F" w:rsidP="0083075F">
      <w:pPr>
        <w:pStyle w:val="Prrafodelista"/>
        <w:spacing w:line="360" w:lineRule="auto"/>
        <w:jc w:val="both"/>
        <w:rPr>
          <w:rFonts w:ascii="Verdana" w:eastAsiaTheme="majorEastAsia" w:hAnsi="Verdana" w:cstheme="majorBidi"/>
          <w:spacing w:val="5"/>
          <w:kern w:val="28"/>
        </w:rPr>
      </w:pPr>
    </w:p>
    <w:p w:rsidR="00EA0764" w:rsidRPr="00260A4A" w:rsidRDefault="0083075F" w:rsidP="00260A4A">
      <w:pPr>
        <w:pStyle w:val="Prrafodelista"/>
        <w:numPr>
          <w:ilvl w:val="0"/>
          <w:numId w:val="18"/>
        </w:numPr>
        <w:spacing w:line="360" w:lineRule="auto"/>
        <w:jc w:val="both"/>
        <w:rPr>
          <w:rFonts w:ascii="Verdana" w:eastAsiaTheme="majorEastAsia" w:hAnsi="Verdana" w:cstheme="majorBidi"/>
          <w:spacing w:val="5"/>
          <w:kern w:val="28"/>
        </w:rPr>
      </w:pPr>
      <w:r w:rsidRPr="005A389E">
        <w:rPr>
          <w:rFonts w:ascii="Verdana" w:eastAsiaTheme="majorEastAsia" w:hAnsi="Verdana" w:cstheme="majorBidi"/>
          <w:spacing w:val="5"/>
          <w:kern w:val="28"/>
        </w:rPr>
        <w:t>En nuestro país, uno de cada cuatro niños y adolescentes está se encuentra en riesgo de pobreza, una situación heredada de sus padres y que p</w:t>
      </w:r>
      <w:r w:rsidR="00237066">
        <w:rPr>
          <w:rFonts w:ascii="Verdana" w:eastAsiaTheme="majorEastAsia" w:hAnsi="Verdana" w:cstheme="majorBidi"/>
          <w:spacing w:val="5"/>
          <w:kern w:val="28"/>
        </w:rPr>
        <w:t>robablemente leguen a sus hijos</w:t>
      </w:r>
    </w:p>
    <w:p w:rsidR="003B44F9" w:rsidRPr="003B44F9" w:rsidRDefault="003B44F9" w:rsidP="003B44F9">
      <w:pPr>
        <w:pStyle w:val="Prrafodelista"/>
        <w:rPr>
          <w:rFonts w:ascii="Verdana" w:eastAsiaTheme="majorEastAsia" w:hAnsi="Verdana" w:cstheme="majorBidi"/>
          <w:b/>
          <w:color w:val="7030A0"/>
          <w:spacing w:val="5"/>
          <w:kern w:val="28"/>
        </w:rPr>
      </w:pPr>
    </w:p>
    <w:p w:rsidR="003B44F9" w:rsidRDefault="003B44F9" w:rsidP="003B44F9">
      <w:pPr>
        <w:pStyle w:val="Prrafodelista"/>
        <w:numPr>
          <w:ilvl w:val="0"/>
          <w:numId w:val="21"/>
        </w:numPr>
        <w:spacing w:line="360" w:lineRule="auto"/>
        <w:jc w:val="both"/>
        <w:rPr>
          <w:rFonts w:ascii="Verdana" w:eastAsiaTheme="majorEastAsia" w:hAnsi="Verdana" w:cstheme="majorBidi"/>
          <w:spacing w:val="5"/>
          <w:kern w:val="28"/>
        </w:rPr>
      </w:pPr>
      <w:r w:rsidRPr="007F6F7E">
        <w:rPr>
          <w:rFonts w:ascii="Verdana" w:eastAsiaTheme="majorEastAsia" w:hAnsi="Verdana" w:cstheme="majorBidi"/>
          <w:spacing w:val="5"/>
          <w:kern w:val="28"/>
        </w:rPr>
        <w:t xml:space="preserve">La </w:t>
      </w:r>
      <w:r w:rsidRPr="007F6F7E">
        <w:rPr>
          <w:rFonts w:ascii="Verdana" w:eastAsiaTheme="majorEastAsia" w:hAnsi="Verdana" w:cstheme="majorBidi"/>
          <w:b/>
          <w:color w:val="7030A0"/>
          <w:spacing w:val="5"/>
          <w:kern w:val="28"/>
        </w:rPr>
        <w:t>tasa AROPE en Asturias se dispara al 27,7%</w:t>
      </w:r>
      <w:r w:rsidR="007F6F7E" w:rsidRPr="007F6F7E">
        <w:rPr>
          <w:rFonts w:ascii="Verdana" w:eastAsiaTheme="majorEastAsia" w:hAnsi="Verdana" w:cstheme="majorBidi"/>
          <w:b/>
          <w:color w:val="7030A0"/>
          <w:spacing w:val="5"/>
          <w:kern w:val="28"/>
        </w:rPr>
        <w:t xml:space="preserve"> (26,4% en España)</w:t>
      </w:r>
      <w:r w:rsidRPr="007F6F7E">
        <w:rPr>
          <w:rFonts w:ascii="Verdana" w:eastAsiaTheme="majorEastAsia" w:hAnsi="Verdana" w:cstheme="majorBidi"/>
          <w:spacing w:val="5"/>
          <w:kern w:val="28"/>
        </w:rPr>
        <w:t xml:space="preserve">, 3,1 puntos porcentuales más que en 2019, esto es </w:t>
      </w:r>
      <w:r w:rsidRPr="007F6F7E">
        <w:rPr>
          <w:rFonts w:ascii="Verdana" w:eastAsiaTheme="majorEastAsia" w:hAnsi="Verdana" w:cstheme="majorBidi"/>
          <w:b/>
          <w:color w:val="7030A0"/>
          <w:spacing w:val="5"/>
          <w:kern w:val="28"/>
        </w:rPr>
        <w:t>casi 3 de cada 10 asturianos están en riesgo de pobreza o exclusión social</w:t>
      </w:r>
      <w:r w:rsidRPr="007F6F7E">
        <w:rPr>
          <w:rFonts w:ascii="Verdana" w:eastAsiaTheme="majorEastAsia" w:hAnsi="Verdana" w:cstheme="majorBidi"/>
          <w:spacing w:val="5"/>
          <w:kern w:val="28"/>
        </w:rPr>
        <w:t xml:space="preserve"> y acumula tres años de aumento continuado. </w:t>
      </w:r>
    </w:p>
    <w:p w:rsidR="007F6F7E" w:rsidRPr="007F6F7E" w:rsidRDefault="007F6F7E" w:rsidP="007F6F7E">
      <w:pPr>
        <w:pStyle w:val="Prrafodelista"/>
        <w:spacing w:line="360" w:lineRule="auto"/>
        <w:jc w:val="both"/>
        <w:rPr>
          <w:rFonts w:ascii="Verdana" w:eastAsiaTheme="majorEastAsia" w:hAnsi="Verdana" w:cstheme="majorBidi"/>
          <w:spacing w:val="5"/>
          <w:kern w:val="28"/>
        </w:rPr>
      </w:pPr>
    </w:p>
    <w:p w:rsidR="003B44F9" w:rsidRPr="003B44F9" w:rsidRDefault="003B44F9" w:rsidP="005B1AE8">
      <w:pPr>
        <w:pStyle w:val="Prrafodelista"/>
        <w:numPr>
          <w:ilvl w:val="0"/>
          <w:numId w:val="21"/>
        </w:numPr>
        <w:spacing w:line="360" w:lineRule="auto"/>
        <w:jc w:val="both"/>
        <w:rPr>
          <w:rFonts w:ascii="Verdana" w:eastAsiaTheme="majorEastAsia" w:hAnsi="Verdana" w:cstheme="majorBidi"/>
          <w:b/>
          <w:color w:val="7030A0"/>
          <w:spacing w:val="5"/>
          <w:kern w:val="28"/>
        </w:rPr>
      </w:pPr>
      <w:r>
        <w:rPr>
          <w:rFonts w:ascii="Verdana" w:eastAsiaTheme="majorEastAsia" w:hAnsi="Verdana" w:cstheme="majorBidi"/>
          <w:spacing w:val="5"/>
          <w:kern w:val="28"/>
        </w:rPr>
        <w:t xml:space="preserve">Casi </w:t>
      </w:r>
      <w:r w:rsidRPr="003B44F9">
        <w:rPr>
          <w:rFonts w:ascii="Verdana" w:eastAsiaTheme="majorEastAsia" w:hAnsi="Verdana" w:cstheme="majorBidi"/>
          <w:b/>
          <w:color w:val="7030A0"/>
          <w:spacing w:val="5"/>
          <w:kern w:val="28"/>
        </w:rPr>
        <w:t>3 de cada 10 hogares asturianos no puede hacer frente a gastos imprevistos</w:t>
      </w:r>
    </w:p>
    <w:p w:rsidR="003B44F9" w:rsidRPr="003B44F9" w:rsidRDefault="003B44F9" w:rsidP="003B44F9">
      <w:pPr>
        <w:pStyle w:val="Prrafodelista"/>
        <w:rPr>
          <w:rFonts w:ascii="Verdana" w:eastAsiaTheme="majorEastAsia" w:hAnsi="Verdana" w:cstheme="majorBidi"/>
          <w:spacing w:val="5"/>
          <w:kern w:val="28"/>
        </w:rPr>
      </w:pPr>
    </w:p>
    <w:p w:rsidR="003B44F9" w:rsidRPr="003B44F9" w:rsidRDefault="003B44F9" w:rsidP="005B1AE8">
      <w:pPr>
        <w:pStyle w:val="Prrafodelista"/>
        <w:numPr>
          <w:ilvl w:val="0"/>
          <w:numId w:val="21"/>
        </w:numPr>
        <w:spacing w:line="360" w:lineRule="auto"/>
        <w:jc w:val="both"/>
        <w:rPr>
          <w:rFonts w:ascii="Verdana" w:eastAsiaTheme="majorEastAsia" w:hAnsi="Verdana" w:cstheme="majorBidi"/>
          <w:b/>
          <w:color w:val="7030A0"/>
          <w:spacing w:val="5"/>
          <w:kern w:val="28"/>
        </w:rPr>
      </w:pPr>
      <w:r w:rsidRPr="003B44F9">
        <w:rPr>
          <w:rFonts w:ascii="Verdana" w:eastAsiaTheme="majorEastAsia" w:hAnsi="Verdana" w:cstheme="majorBidi"/>
          <w:b/>
          <w:color w:val="7030A0"/>
          <w:spacing w:val="5"/>
          <w:kern w:val="28"/>
        </w:rPr>
        <w:t>Uno de cada 10 hogares asturianos no puede mantener su vivienda a una temperatura adecuada</w:t>
      </w:r>
    </w:p>
    <w:p w:rsidR="003B44F9" w:rsidRPr="003B44F9" w:rsidRDefault="003B44F9" w:rsidP="003B44F9">
      <w:pPr>
        <w:pStyle w:val="Prrafodelista"/>
        <w:rPr>
          <w:rFonts w:ascii="Verdana" w:eastAsiaTheme="majorEastAsia" w:hAnsi="Verdana" w:cstheme="majorBidi"/>
          <w:b/>
          <w:color w:val="7030A0"/>
          <w:spacing w:val="5"/>
          <w:kern w:val="28"/>
        </w:rPr>
      </w:pPr>
    </w:p>
    <w:p w:rsidR="00260A4A" w:rsidRPr="00260A4A" w:rsidRDefault="003B44F9" w:rsidP="00260A4A">
      <w:pPr>
        <w:pStyle w:val="Prrafodelista"/>
        <w:numPr>
          <w:ilvl w:val="0"/>
          <w:numId w:val="21"/>
        </w:numPr>
        <w:spacing w:line="360" w:lineRule="auto"/>
        <w:jc w:val="both"/>
        <w:rPr>
          <w:rFonts w:ascii="Verdana" w:eastAsiaTheme="majorEastAsia" w:hAnsi="Verdana" w:cstheme="majorBidi"/>
          <w:b/>
          <w:color w:val="7030A0"/>
          <w:spacing w:val="5"/>
          <w:kern w:val="28"/>
        </w:rPr>
      </w:pPr>
      <w:r>
        <w:rPr>
          <w:rFonts w:ascii="Verdana" w:eastAsiaTheme="majorEastAsia" w:hAnsi="Verdana" w:cstheme="majorBidi"/>
          <w:spacing w:val="5"/>
          <w:kern w:val="28"/>
        </w:rPr>
        <w:t xml:space="preserve">Aproximadamente </w:t>
      </w:r>
      <w:r w:rsidR="00CD6AA3">
        <w:rPr>
          <w:rFonts w:ascii="Verdana" w:eastAsiaTheme="majorEastAsia" w:hAnsi="Verdana" w:cstheme="majorBidi"/>
          <w:spacing w:val="5"/>
          <w:kern w:val="28"/>
        </w:rPr>
        <w:t xml:space="preserve">el </w:t>
      </w:r>
      <w:r w:rsidRPr="003B44F9">
        <w:rPr>
          <w:rFonts w:ascii="Verdana" w:eastAsiaTheme="majorEastAsia" w:hAnsi="Verdana" w:cstheme="majorBidi"/>
          <w:b/>
          <w:color w:val="7030A0"/>
          <w:spacing w:val="5"/>
          <w:kern w:val="28"/>
        </w:rPr>
        <w:t>10</w:t>
      </w:r>
      <w:r w:rsidR="00CD6AA3">
        <w:rPr>
          <w:rFonts w:ascii="Verdana" w:eastAsiaTheme="majorEastAsia" w:hAnsi="Verdana" w:cstheme="majorBidi"/>
          <w:b/>
          <w:color w:val="7030A0"/>
          <w:spacing w:val="5"/>
          <w:kern w:val="28"/>
        </w:rPr>
        <w:t>% de</w:t>
      </w:r>
      <w:r w:rsidRPr="003B44F9">
        <w:rPr>
          <w:rFonts w:ascii="Verdana" w:eastAsiaTheme="majorEastAsia" w:hAnsi="Verdana" w:cstheme="majorBidi"/>
          <w:b/>
          <w:color w:val="7030A0"/>
          <w:spacing w:val="5"/>
          <w:kern w:val="28"/>
        </w:rPr>
        <w:t xml:space="preserve"> hogares </w:t>
      </w:r>
      <w:r w:rsidR="00CD6AA3">
        <w:rPr>
          <w:rFonts w:ascii="Verdana" w:eastAsiaTheme="majorEastAsia" w:hAnsi="Verdana" w:cstheme="majorBidi"/>
          <w:b/>
          <w:color w:val="7030A0"/>
          <w:spacing w:val="5"/>
          <w:kern w:val="28"/>
        </w:rPr>
        <w:t>asturianos tiene</w:t>
      </w:r>
      <w:r w:rsidRPr="003B44F9">
        <w:rPr>
          <w:rFonts w:ascii="Verdana" w:eastAsiaTheme="majorEastAsia" w:hAnsi="Verdana" w:cstheme="majorBidi"/>
          <w:b/>
          <w:color w:val="7030A0"/>
          <w:spacing w:val="5"/>
          <w:kern w:val="28"/>
        </w:rPr>
        <w:t xml:space="preserve"> mucha dificultad </w:t>
      </w:r>
      <w:r w:rsidR="00CD6AA3">
        <w:rPr>
          <w:rFonts w:ascii="Verdana" w:eastAsiaTheme="majorEastAsia" w:hAnsi="Verdana" w:cstheme="majorBidi"/>
          <w:b/>
          <w:color w:val="7030A0"/>
          <w:spacing w:val="5"/>
          <w:kern w:val="28"/>
        </w:rPr>
        <w:t>par</w:t>
      </w:r>
      <w:r w:rsidRPr="003B44F9">
        <w:rPr>
          <w:rFonts w:ascii="Verdana" w:eastAsiaTheme="majorEastAsia" w:hAnsi="Verdana" w:cstheme="majorBidi"/>
          <w:b/>
          <w:color w:val="7030A0"/>
          <w:spacing w:val="5"/>
          <w:kern w:val="28"/>
        </w:rPr>
        <w:t xml:space="preserve">a </w:t>
      </w:r>
      <w:r w:rsidR="00CD6AA3">
        <w:rPr>
          <w:rFonts w:ascii="Verdana" w:eastAsiaTheme="majorEastAsia" w:hAnsi="Verdana" w:cstheme="majorBidi"/>
          <w:b/>
          <w:color w:val="7030A0"/>
          <w:spacing w:val="5"/>
          <w:kern w:val="28"/>
        </w:rPr>
        <w:t xml:space="preserve">llegar a </w:t>
      </w:r>
      <w:r w:rsidRPr="003B44F9">
        <w:rPr>
          <w:rFonts w:ascii="Verdana" w:eastAsiaTheme="majorEastAsia" w:hAnsi="Verdana" w:cstheme="majorBidi"/>
          <w:b/>
          <w:color w:val="7030A0"/>
          <w:spacing w:val="5"/>
          <w:kern w:val="28"/>
        </w:rPr>
        <w:t>fin de mes</w:t>
      </w:r>
    </w:p>
    <w:p w:rsidR="00260A4A" w:rsidRPr="00260A4A" w:rsidRDefault="00260A4A" w:rsidP="00260A4A">
      <w:pPr>
        <w:pStyle w:val="Prrafodelista"/>
        <w:spacing w:line="360" w:lineRule="auto"/>
        <w:jc w:val="both"/>
        <w:rPr>
          <w:rFonts w:ascii="Verdana" w:eastAsiaTheme="majorEastAsia" w:hAnsi="Verdana" w:cstheme="majorBidi"/>
          <w:b/>
          <w:color w:val="7030A0"/>
          <w:spacing w:val="5"/>
          <w:kern w:val="28"/>
        </w:rPr>
      </w:pPr>
    </w:p>
    <w:p w:rsidR="00260A4A" w:rsidRPr="007F6F7E" w:rsidRDefault="00260A4A" w:rsidP="007F6F7E">
      <w:pPr>
        <w:pStyle w:val="Prrafodelista"/>
        <w:numPr>
          <w:ilvl w:val="0"/>
          <w:numId w:val="18"/>
        </w:numPr>
        <w:spacing w:line="360" w:lineRule="auto"/>
        <w:jc w:val="both"/>
        <w:rPr>
          <w:rFonts w:ascii="Verdana" w:eastAsiaTheme="majorEastAsia" w:hAnsi="Verdana" w:cstheme="majorBidi"/>
          <w:spacing w:val="5"/>
          <w:kern w:val="28"/>
        </w:rPr>
      </w:pPr>
      <w:r>
        <w:rPr>
          <w:rFonts w:ascii="Verdana" w:eastAsiaTheme="majorEastAsia" w:hAnsi="Verdana" w:cstheme="majorBidi"/>
          <w:spacing w:val="5"/>
          <w:kern w:val="28"/>
        </w:rPr>
        <w:t xml:space="preserve">Los </w:t>
      </w:r>
      <w:r w:rsidRPr="009E4856">
        <w:rPr>
          <w:rFonts w:ascii="Verdana" w:eastAsiaTheme="majorEastAsia" w:hAnsi="Verdana" w:cstheme="majorBidi"/>
          <w:b/>
          <w:color w:val="7030A0"/>
          <w:spacing w:val="5"/>
          <w:kern w:val="28"/>
        </w:rPr>
        <w:t>salarios vienen perdiendo poder de compra en Asturias:</w:t>
      </w:r>
    </w:p>
    <w:p w:rsidR="00260A4A" w:rsidRPr="007F6F7E" w:rsidRDefault="00260A4A" w:rsidP="007F6F7E">
      <w:pPr>
        <w:pStyle w:val="Prrafodelista"/>
        <w:numPr>
          <w:ilvl w:val="0"/>
          <w:numId w:val="20"/>
        </w:numPr>
        <w:spacing w:line="360" w:lineRule="auto"/>
        <w:jc w:val="both"/>
        <w:rPr>
          <w:rFonts w:ascii="Verdana" w:eastAsiaTheme="majorEastAsia" w:hAnsi="Verdana" w:cstheme="majorBidi"/>
          <w:spacing w:val="5"/>
          <w:kern w:val="28"/>
        </w:rPr>
      </w:pPr>
      <w:r>
        <w:rPr>
          <w:rFonts w:ascii="Verdana" w:eastAsiaTheme="majorEastAsia" w:hAnsi="Verdana" w:cstheme="majorBidi"/>
          <w:spacing w:val="5"/>
          <w:kern w:val="28"/>
        </w:rPr>
        <w:t>Han perdido más de 3 puntos porcentuales en la distribución de la riqueza en los últimos diez años</w:t>
      </w:r>
    </w:p>
    <w:p w:rsidR="00260A4A" w:rsidRDefault="00260A4A" w:rsidP="00260A4A">
      <w:pPr>
        <w:pStyle w:val="Prrafodelista"/>
        <w:numPr>
          <w:ilvl w:val="0"/>
          <w:numId w:val="20"/>
        </w:numPr>
        <w:spacing w:line="360" w:lineRule="auto"/>
        <w:jc w:val="both"/>
        <w:rPr>
          <w:rFonts w:ascii="Verdana" w:eastAsiaTheme="majorEastAsia" w:hAnsi="Verdana" w:cstheme="majorBidi"/>
          <w:spacing w:val="5"/>
          <w:kern w:val="28"/>
        </w:rPr>
      </w:pPr>
      <w:r>
        <w:rPr>
          <w:rFonts w:ascii="Verdana" w:eastAsiaTheme="majorEastAsia" w:hAnsi="Verdana" w:cstheme="majorBidi"/>
          <w:spacing w:val="5"/>
          <w:kern w:val="28"/>
        </w:rPr>
        <w:t>A</w:t>
      </w:r>
      <w:r w:rsidRPr="00711356">
        <w:rPr>
          <w:rFonts w:ascii="Verdana" w:eastAsiaTheme="majorEastAsia" w:hAnsi="Verdana" w:cstheme="majorBidi"/>
          <w:spacing w:val="5"/>
          <w:kern w:val="28"/>
        </w:rPr>
        <w:t>cumulan una pérdida de poder adquisitivo de 8,5 puntos desde el año 2010</w:t>
      </w:r>
    </w:p>
    <w:p w:rsidR="00260A4A" w:rsidRPr="005B1AE8" w:rsidRDefault="00260A4A" w:rsidP="00260A4A">
      <w:pPr>
        <w:pStyle w:val="Prrafodelista"/>
        <w:rPr>
          <w:rFonts w:ascii="Verdana" w:eastAsiaTheme="majorEastAsia" w:hAnsi="Verdana" w:cstheme="majorBidi"/>
          <w:spacing w:val="5"/>
          <w:kern w:val="28"/>
        </w:rPr>
      </w:pPr>
    </w:p>
    <w:p w:rsidR="00CD6AA3" w:rsidRPr="00237066" w:rsidRDefault="00260A4A" w:rsidP="00286F9F">
      <w:pPr>
        <w:pStyle w:val="Prrafodelista"/>
        <w:numPr>
          <w:ilvl w:val="0"/>
          <w:numId w:val="21"/>
        </w:numPr>
        <w:spacing w:line="360" w:lineRule="auto"/>
        <w:jc w:val="both"/>
        <w:rPr>
          <w:rFonts w:ascii="Verdana" w:eastAsiaTheme="majorEastAsia" w:hAnsi="Verdana" w:cstheme="majorBidi"/>
          <w:b/>
          <w:color w:val="7030A0"/>
          <w:spacing w:val="5"/>
          <w:kern w:val="28"/>
        </w:rPr>
      </w:pPr>
      <w:r>
        <w:rPr>
          <w:rFonts w:ascii="Verdana" w:eastAsiaTheme="majorEastAsia" w:hAnsi="Verdana" w:cstheme="majorBidi"/>
          <w:spacing w:val="5"/>
          <w:kern w:val="28"/>
        </w:rPr>
        <w:t xml:space="preserve">A día de hoy en Asturias </w:t>
      </w:r>
      <w:r w:rsidRPr="009E4856">
        <w:rPr>
          <w:rFonts w:ascii="Verdana" w:eastAsiaTheme="majorEastAsia" w:hAnsi="Verdana" w:cstheme="majorBidi"/>
          <w:b/>
          <w:color w:val="7030A0"/>
          <w:spacing w:val="5"/>
          <w:kern w:val="28"/>
        </w:rPr>
        <w:t>7.380 trabajadores</w:t>
      </w:r>
      <w:r>
        <w:rPr>
          <w:rFonts w:ascii="Verdana" w:eastAsiaTheme="majorEastAsia" w:hAnsi="Verdana" w:cstheme="majorBidi"/>
          <w:spacing w:val="5"/>
          <w:kern w:val="28"/>
        </w:rPr>
        <w:t xml:space="preserve"> se encuentran </w:t>
      </w:r>
      <w:r w:rsidRPr="009E4856">
        <w:rPr>
          <w:rFonts w:ascii="Verdana" w:eastAsiaTheme="majorEastAsia" w:hAnsi="Verdana" w:cstheme="majorBidi"/>
          <w:b/>
          <w:color w:val="7030A0"/>
          <w:spacing w:val="5"/>
          <w:kern w:val="28"/>
        </w:rPr>
        <w:t>en ERTE</w:t>
      </w:r>
      <w:r w:rsidR="007F6F7E">
        <w:rPr>
          <w:rFonts w:ascii="Verdana" w:eastAsiaTheme="majorEastAsia" w:hAnsi="Verdana" w:cstheme="majorBidi"/>
          <w:b/>
          <w:color w:val="7030A0"/>
          <w:spacing w:val="5"/>
          <w:kern w:val="28"/>
        </w:rPr>
        <w:t xml:space="preserve">. </w:t>
      </w:r>
      <w:r w:rsidRPr="007F6F7E">
        <w:rPr>
          <w:rFonts w:ascii="Verdana" w:eastAsiaTheme="majorEastAsia" w:hAnsi="Verdana" w:cstheme="majorBidi"/>
          <w:spacing w:val="5"/>
          <w:kern w:val="28"/>
        </w:rPr>
        <w:t xml:space="preserve">El </w:t>
      </w:r>
      <w:r w:rsidRPr="007F6F7E">
        <w:rPr>
          <w:rFonts w:ascii="Verdana" w:eastAsiaTheme="majorEastAsia" w:hAnsi="Verdana" w:cstheme="majorBidi"/>
          <w:b/>
          <w:color w:val="7030A0"/>
          <w:spacing w:val="5"/>
          <w:kern w:val="28"/>
        </w:rPr>
        <w:t>52% de los parados asturianos</w:t>
      </w:r>
      <w:r w:rsidRPr="007F6F7E">
        <w:rPr>
          <w:rFonts w:ascii="Verdana" w:eastAsiaTheme="majorEastAsia" w:hAnsi="Verdana" w:cstheme="majorBidi"/>
          <w:b/>
          <w:spacing w:val="5"/>
          <w:kern w:val="28"/>
        </w:rPr>
        <w:t xml:space="preserve"> </w:t>
      </w:r>
      <w:r w:rsidRPr="007F6F7E">
        <w:rPr>
          <w:rFonts w:ascii="Verdana" w:eastAsiaTheme="majorEastAsia" w:hAnsi="Verdana" w:cstheme="majorBidi"/>
          <w:spacing w:val="5"/>
          <w:kern w:val="28"/>
        </w:rPr>
        <w:t xml:space="preserve">ya </w:t>
      </w:r>
      <w:r w:rsidRPr="007F6F7E">
        <w:rPr>
          <w:rFonts w:ascii="Verdana" w:eastAsiaTheme="majorEastAsia" w:hAnsi="Verdana" w:cstheme="majorBidi"/>
          <w:b/>
          <w:color w:val="7030A0"/>
          <w:spacing w:val="5"/>
          <w:kern w:val="28"/>
        </w:rPr>
        <w:t>no tiene cobertura frente a la desempleo</w:t>
      </w:r>
    </w:p>
    <w:p w:rsidR="00A364A5" w:rsidRPr="00286F9F" w:rsidRDefault="004D17CB" w:rsidP="00286F9F">
      <w:pPr>
        <w:pStyle w:val="Prrafodelista"/>
        <w:numPr>
          <w:ilvl w:val="0"/>
          <w:numId w:val="3"/>
        </w:numPr>
        <w:pBdr>
          <w:bottom w:val="single" w:sz="4" w:space="1" w:color="5F497A" w:themeColor="accent4" w:themeShade="BF"/>
        </w:pBdr>
        <w:jc w:val="both"/>
        <w:rPr>
          <w:rFonts w:asciiTheme="majorHAnsi" w:eastAsiaTheme="majorEastAsia" w:hAnsiTheme="majorHAnsi" w:cstheme="majorBidi"/>
          <w:color w:val="7030A0"/>
          <w:spacing w:val="5"/>
          <w:kern w:val="28"/>
          <w:sz w:val="52"/>
          <w:szCs w:val="52"/>
        </w:rPr>
      </w:pPr>
      <w:r>
        <w:rPr>
          <w:rFonts w:asciiTheme="majorHAnsi" w:eastAsiaTheme="majorEastAsia" w:hAnsiTheme="majorHAnsi" w:cstheme="majorBidi"/>
          <w:color w:val="7030A0"/>
          <w:spacing w:val="5"/>
          <w:kern w:val="28"/>
          <w:sz w:val="52"/>
          <w:szCs w:val="52"/>
        </w:rPr>
        <w:t>CAUSAS DE LA POBREZA Y EXCLUSIÓN SOCIAL</w:t>
      </w:r>
    </w:p>
    <w:p w:rsidR="003F089F" w:rsidRDefault="003F089F" w:rsidP="003F089F">
      <w:pPr>
        <w:pStyle w:val="Prrafodelista"/>
        <w:spacing w:line="360" w:lineRule="auto"/>
        <w:jc w:val="both"/>
        <w:rPr>
          <w:rFonts w:ascii="Verdana" w:eastAsiaTheme="majorEastAsia" w:hAnsi="Verdana" w:cstheme="majorBidi"/>
          <w:b/>
          <w:color w:val="7030A0"/>
          <w:spacing w:val="5"/>
          <w:kern w:val="28"/>
        </w:rPr>
      </w:pPr>
    </w:p>
    <w:p w:rsidR="003F089F" w:rsidRDefault="003F089F" w:rsidP="003F089F">
      <w:pPr>
        <w:pStyle w:val="Prrafodelista"/>
        <w:spacing w:line="360" w:lineRule="auto"/>
        <w:jc w:val="both"/>
        <w:rPr>
          <w:rFonts w:ascii="Verdana" w:eastAsiaTheme="majorEastAsia" w:hAnsi="Verdana" w:cstheme="majorBidi"/>
          <w:b/>
          <w:color w:val="7030A0"/>
          <w:spacing w:val="5"/>
          <w:kern w:val="28"/>
        </w:rPr>
      </w:pPr>
    </w:p>
    <w:p w:rsidR="003F089F" w:rsidRPr="00E84B07" w:rsidRDefault="003F089F" w:rsidP="003F089F">
      <w:pPr>
        <w:pStyle w:val="Prrafodelista"/>
        <w:numPr>
          <w:ilvl w:val="0"/>
          <w:numId w:val="3"/>
        </w:numPr>
        <w:spacing w:line="360" w:lineRule="auto"/>
        <w:jc w:val="both"/>
        <w:rPr>
          <w:rFonts w:ascii="Verdana" w:eastAsiaTheme="majorEastAsia" w:hAnsi="Verdana" w:cstheme="majorBidi"/>
          <w:b/>
          <w:color w:val="7030A0"/>
          <w:spacing w:val="5"/>
          <w:kern w:val="28"/>
        </w:rPr>
      </w:pPr>
      <w:r>
        <w:rPr>
          <w:rFonts w:ascii="Verdana" w:eastAsiaTheme="majorEastAsia" w:hAnsi="Verdana" w:cstheme="majorBidi"/>
          <w:b/>
          <w:color w:val="7030A0"/>
          <w:spacing w:val="5"/>
          <w:kern w:val="28"/>
        </w:rPr>
        <w:t>RECORTES EN EL ESTADO DE BIENESTAR</w:t>
      </w:r>
    </w:p>
    <w:p w:rsidR="008955FB" w:rsidRDefault="003F089F" w:rsidP="008955FB">
      <w:pPr>
        <w:spacing w:line="360" w:lineRule="auto"/>
        <w:jc w:val="both"/>
        <w:rPr>
          <w:rFonts w:ascii="Verdana" w:eastAsiaTheme="majorEastAsia" w:hAnsi="Verdana" w:cstheme="majorBidi"/>
          <w:spacing w:val="5"/>
          <w:kern w:val="28"/>
        </w:rPr>
      </w:pPr>
      <w:r>
        <w:rPr>
          <w:rFonts w:ascii="Verdana" w:eastAsiaTheme="majorEastAsia" w:hAnsi="Verdana" w:cstheme="majorBidi"/>
          <w:spacing w:val="5"/>
          <w:kern w:val="28"/>
        </w:rPr>
        <w:lastRenderedPageBreak/>
        <w:t xml:space="preserve">Desde la UGT siempre hemos </w:t>
      </w:r>
      <w:r w:rsidR="008955FB">
        <w:rPr>
          <w:rFonts w:ascii="Verdana" w:eastAsiaTheme="majorEastAsia" w:hAnsi="Verdana" w:cstheme="majorBidi"/>
          <w:spacing w:val="5"/>
          <w:kern w:val="28"/>
        </w:rPr>
        <w:t>alertado de</w:t>
      </w:r>
      <w:r>
        <w:rPr>
          <w:rFonts w:ascii="Verdana" w:eastAsiaTheme="majorEastAsia" w:hAnsi="Verdana" w:cstheme="majorBidi"/>
          <w:spacing w:val="5"/>
          <w:kern w:val="28"/>
        </w:rPr>
        <w:t xml:space="preserve"> la forma</w:t>
      </w:r>
      <w:r w:rsidR="00FF4722">
        <w:rPr>
          <w:rFonts w:ascii="Verdana" w:eastAsiaTheme="majorEastAsia" w:hAnsi="Verdana" w:cstheme="majorBidi"/>
          <w:spacing w:val="5"/>
          <w:kern w:val="28"/>
        </w:rPr>
        <w:t xml:space="preserve"> tan injusta</w:t>
      </w:r>
      <w:r>
        <w:rPr>
          <w:rFonts w:ascii="Verdana" w:eastAsiaTheme="majorEastAsia" w:hAnsi="Verdana" w:cstheme="majorBidi"/>
          <w:spacing w:val="5"/>
          <w:kern w:val="28"/>
        </w:rPr>
        <w:t xml:space="preserve"> en que se afrontó l</w:t>
      </w:r>
      <w:r w:rsidRPr="003F089F">
        <w:rPr>
          <w:rFonts w:ascii="Verdana" w:eastAsiaTheme="majorEastAsia" w:hAnsi="Verdana" w:cstheme="majorBidi"/>
          <w:spacing w:val="5"/>
          <w:kern w:val="28"/>
        </w:rPr>
        <w:t>a crisis del año 2008</w:t>
      </w:r>
      <w:r>
        <w:rPr>
          <w:rFonts w:ascii="Verdana" w:eastAsiaTheme="majorEastAsia" w:hAnsi="Verdana" w:cstheme="majorBidi"/>
          <w:spacing w:val="5"/>
          <w:kern w:val="28"/>
        </w:rPr>
        <w:t>, centrándose exclusivamente en la vertiente</w:t>
      </w:r>
      <w:r w:rsidRPr="003F089F">
        <w:rPr>
          <w:rFonts w:ascii="Verdana" w:eastAsiaTheme="majorEastAsia" w:hAnsi="Verdana" w:cstheme="majorBidi"/>
          <w:spacing w:val="5"/>
          <w:kern w:val="28"/>
        </w:rPr>
        <w:t xml:space="preserve"> del gasto</w:t>
      </w:r>
      <w:r>
        <w:rPr>
          <w:rFonts w:ascii="Verdana" w:eastAsiaTheme="majorEastAsia" w:hAnsi="Verdana" w:cstheme="majorBidi"/>
          <w:spacing w:val="5"/>
          <w:kern w:val="28"/>
        </w:rPr>
        <w:t xml:space="preserve"> sin presta</w:t>
      </w:r>
      <w:r w:rsidR="008955FB">
        <w:rPr>
          <w:rFonts w:ascii="Verdana" w:eastAsiaTheme="majorEastAsia" w:hAnsi="Verdana" w:cstheme="majorBidi"/>
          <w:spacing w:val="5"/>
          <w:kern w:val="28"/>
        </w:rPr>
        <w:t>r</w:t>
      </w:r>
      <w:r>
        <w:rPr>
          <w:rFonts w:ascii="Verdana" w:eastAsiaTheme="majorEastAsia" w:hAnsi="Verdana" w:cstheme="majorBidi"/>
          <w:spacing w:val="5"/>
          <w:kern w:val="28"/>
        </w:rPr>
        <w:t xml:space="preserve"> atención a la óptica de los ingresos. </w:t>
      </w:r>
      <w:r w:rsidR="008955FB">
        <w:rPr>
          <w:rFonts w:ascii="Verdana" w:eastAsiaTheme="majorEastAsia" w:hAnsi="Verdana" w:cstheme="majorBidi"/>
          <w:spacing w:val="5"/>
          <w:kern w:val="28"/>
        </w:rPr>
        <w:t xml:space="preserve">En esta </w:t>
      </w:r>
      <w:r w:rsidR="008955FB" w:rsidRPr="002E2C8B">
        <w:rPr>
          <w:rFonts w:ascii="Verdana" w:eastAsiaTheme="majorEastAsia" w:hAnsi="Verdana" w:cstheme="majorBidi"/>
          <w:b/>
          <w:color w:val="7030A0"/>
          <w:spacing w:val="5"/>
          <w:kern w:val="28"/>
        </w:rPr>
        <w:t>obsesión por la reducción del déficit</w:t>
      </w:r>
      <w:r w:rsidR="008955FB">
        <w:rPr>
          <w:rFonts w:ascii="Verdana" w:eastAsiaTheme="majorEastAsia" w:hAnsi="Verdana" w:cstheme="majorBidi"/>
          <w:spacing w:val="5"/>
          <w:kern w:val="28"/>
        </w:rPr>
        <w:t xml:space="preserve"> se puso en marcha una </w:t>
      </w:r>
      <w:r w:rsidR="008955FB" w:rsidRPr="002E2C8B">
        <w:rPr>
          <w:rFonts w:ascii="Verdana" w:eastAsiaTheme="majorEastAsia" w:hAnsi="Verdana" w:cstheme="majorBidi"/>
          <w:b/>
          <w:color w:val="7030A0"/>
          <w:spacing w:val="5"/>
          <w:kern w:val="28"/>
        </w:rPr>
        <w:t xml:space="preserve">dura </w:t>
      </w:r>
      <w:r w:rsidR="002E2C8B" w:rsidRPr="002E2C8B">
        <w:rPr>
          <w:rFonts w:ascii="Verdana" w:eastAsiaTheme="majorEastAsia" w:hAnsi="Verdana" w:cstheme="majorBidi"/>
          <w:b/>
          <w:color w:val="7030A0"/>
          <w:spacing w:val="5"/>
          <w:kern w:val="28"/>
        </w:rPr>
        <w:t xml:space="preserve">e injusta </w:t>
      </w:r>
      <w:r w:rsidR="008955FB" w:rsidRPr="002E2C8B">
        <w:rPr>
          <w:rFonts w:ascii="Verdana" w:eastAsiaTheme="majorEastAsia" w:hAnsi="Verdana" w:cstheme="majorBidi"/>
          <w:b/>
          <w:color w:val="7030A0"/>
          <w:spacing w:val="5"/>
          <w:kern w:val="28"/>
        </w:rPr>
        <w:t>política de recortes</w:t>
      </w:r>
      <w:r w:rsidR="008955FB">
        <w:rPr>
          <w:rFonts w:ascii="Verdana" w:eastAsiaTheme="majorEastAsia" w:hAnsi="Verdana" w:cstheme="majorBidi"/>
          <w:spacing w:val="5"/>
          <w:kern w:val="28"/>
        </w:rPr>
        <w:t xml:space="preserve">, haciendo recaer el grueso de los ajustes sobre los colectivos más vulnerables (trabajadores, pensionistas, desempleados, dependientes…). Recortes que se </w:t>
      </w:r>
      <w:r>
        <w:rPr>
          <w:rFonts w:ascii="Verdana" w:eastAsiaTheme="majorEastAsia" w:hAnsi="Verdana" w:cstheme="majorBidi"/>
          <w:spacing w:val="5"/>
          <w:kern w:val="28"/>
        </w:rPr>
        <w:t>intensificaron tras l</w:t>
      </w:r>
      <w:r w:rsidRPr="003F089F">
        <w:rPr>
          <w:rFonts w:ascii="Verdana" w:eastAsiaTheme="majorEastAsia" w:hAnsi="Verdana" w:cstheme="majorBidi"/>
          <w:spacing w:val="5"/>
          <w:kern w:val="28"/>
        </w:rPr>
        <w:t>a llegada al poder del Gobierno del PP</w:t>
      </w:r>
      <w:r w:rsidR="00E84B07">
        <w:rPr>
          <w:rFonts w:ascii="Verdana" w:eastAsiaTheme="majorEastAsia" w:hAnsi="Verdana" w:cstheme="majorBidi"/>
          <w:spacing w:val="5"/>
          <w:kern w:val="28"/>
        </w:rPr>
        <w:t>, y que atendían más a una ideología que a una forma de solucionar la crisis</w:t>
      </w:r>
      <w:r w:rsidRPr="003F089F">
        <w:rPr>
          <w:rFonts w:ascii="Verdana" w:eastAsiaTheme="majorEastAsia" w:hAnsi="Verdana" w:cstheme="majorBidi"/>
          <w:spacing w:val="5"/>
          <w:kern w:val="28"/>
        </w:rPr>
        <w:t xml:space="preserve">. </w:t>
      </w:r>
    </w:p>
    <w:p w:rsidR="00E84B07" w:rsidRPr="008955FB" w:rsidRDefault="008955FB" w:rsidP="008955FB">
      <w:pPr>
        <w:spacing w:line="360" w:lineRule="auto"/>
        <w:jc w:val="both"/>
        <w:rPr>
          <w:rFonts w:ascii="Verdana" w:eastAsiaTheme="majorEastAsia" w:hAnsi="Verdana" w:cstheme="majorBidi"/>
          <w:spacing w:val="5"/>
          <w:kern w:val="28"/>
        </w:rPr>
      </w:pPr>
      <w:r>
        <w:rPr>
          <w:rFonts w:ascii="Verdana" w:eastAsiaTheme="majorEastAsia" w:hAnsi="Verdana" w:cstheme="majorBidi"/>
          <w:spacing w:val="5"/>
          <w:kern w:val="28"/>
        </w:rPr>
        <w:t>Entre estos recortes se encuentran: la r</w:t>
      </w:r>
      <w:r w:rsidR="003F089F" w:rsidRPr="003F089F">
        <w:rPr>
          <w:rFonts w:ascii="Verdana" w:eastAsiaTheme="majorEastAsia" w:hAnsi="Verdana" w:cstheme="majorBidi"/>
          <w:spacing w:val="5"/>
          <w:kern w:val="28"/>
        </w:rPr>
        <w:t xml:space="preserve">eforma laboral del año 2012, </w:t>
      </w:r>
      <w:r>
        <w:rPr>
          <w:rFonts w:ascii="Verdana" w:eastAsiaTheme="majorEastAsia" w:hAnsi="Verdana" w:cstheme="majorBidi"/>
          <w:spacing w:val="5"/>
          <w:kern w:val="28"/>
        </w:rPr>
        <w:t>la r</w:t>
      </w:r>
      <w:r w:rsidR="003F089F">
        <w:rPr>
          <w:rFonts w:ascii="Verdana" w:eastAsiaTheme="majorEastAsia" w:hAnsi="Verdana" w:cstheme="majorBidi"/>
          <w:spacing w:val="5"/>
          <w:kern w:val="28"/>
        </w:rPr>
        <w:t>ef</w:t>
      </w:r>
      <w:r>
        <w:rPr>
          <w:rFonts w:ascii="Verdana" w:eastAsiaTheme="majorEastAsia" w:hAnsi="Verdana" w:cstheme="majorBidi"/>
          <w:spacing w:val="5"/>
          <w:kern w:val="28"/>
        </w:rPr>
        <w:t>orma de pensiones del año 2013, el c</w:t>
      </w:r>
      <w:r w:rsidR="003F089F">
        <w:rPr>
          <w:rFonts w:ascii="Verdana" w:eastAsiaTheme="majorEastAsia" w:hAnsi="Verdana" w:cstheme="majorBidi"/>
          <w:spacing w:val="5"/>
          <w:kern w:val="28"/>
        </w:rPr>
        <w:t>opago farmacéutico</w:t>
      </w:r>
      <w:r>
        <w:rPr>
          <w:rFonts w:ascii="Verdana" w:eastAsiaTheme="majorEastAsia" w:hAnsi="Verdana" w:cstheme="majorBidi"/>
          <w:spacing w:val="5"/>
          <w:kern w:val="28"/>
        </w:rPr>
        <w:t>, d</w:t>
      </w:r>
      <w:r w:rsidR="003F089F" w:rsidRPr="008955FB">
        <w:rPr>
          <w:rFonts w:ascii="Verdana" w:eastAsiaTheme="majorEastAsia" w:hAnsi="Verdana" w:cstheme="majorBidi"/>
          <w:spacing w:val="5"/>
          <w:kern w:val="28"/>
        </w:rPr>
        <w:t>uros recortes en la Ley de Dependencia</w:t>
      </w:r>
      <w:r>
        <w:rPr>
          <w:rFonts w:ascii="Verdana" w:eastAsiaTheme="majorEastAsia" w:hAnsi="Verdana" w:cstheme="majorBidi"/>
          <w:spacing w:val="5"/>
          <w:kern w:val="28"/>
        </w:rPr>
        <w:t>, así como en la sanidad y en la educación. Todo ello a la vez que el Gobierno del PP aprobaba</w:t>
      </w:r>
      <w:r w:rsidR="00E84B07" w:rsidRPr="008955FB">
        <w:rPr>
          <w:rFonts w:ascii="Verdana" w:eastAsiaTheme="majorEastAsia" w:hAnsi="Verdana" w:cstheme="majorBidi"/>
          <w:spacing w:val="5"/>
          <w:kern w:val="28"/>
        </w:rPr>
        <w:t xml:space="preserve"> una amnistía fiscal a los defraudadores</w:t>
      </w:r>
      <w:r>
        <w:rPr>
          <w:rFonts w:ascii="Verdana" w:eastAsiaTheme="majorEastAsia" w:hAnsi="Verdana" w:cstheme="majorBidi"/>
          <w:spacing w:val="5"/>
          <w:kern w:val="28"/>
        </w:rPr>
        <w:t>.</w:t>
      </w:r>
    </w:p>
    <w:p w:rsidR="003F089F" w:rsidRPr="00427476" w:rsidRDefault="00E84B07" w:rsidP="00A364A5">
      <w:pPr>
        <w:spacing w:line="360" w:lineRule="auto"/>
        <w:jc w:val="both"/>
        <w:rPr>
          <w:rFonts w:ascii="Verdana" w:eastAsiaTheme="majorEastAsia" w:hAnsi="Verdana" w:cstheme="majorBidi"/>
          <w:b/>
          <w:color w:val="7030A0"/>
          <w:spacing w:val="5"/>
          <w:kern w:val="28"/>
        </w:rPr>
      </w:pPr>
      <w:r>
        <w:rPr>
          <w:rFonts w:ascii="Verdana" w:eastAsiaTheme="majorEastAsia" w:hAnsi="Verdana" w:cstheme="majorBidi"/>
          <w:spacing w:val="5"/>
          <w:kern w:val="28"/>
        </w:rPr>
        <w:t xml:space="preserve">Este ataque a nuestro estado del bienestar ha provocado un claro empeoramiento en las condiciones de vida de los ciudadanos, </w:t>
      </w:r>
      <w:r w:rsidR="008955FB">
        <w:rPr>
          <w:rFonts w:ascii="Verdana" w:eastAsiaTheme="majorEastAsia" w:hAnsi="Verdana" w:cstheme="majorBidi"/>
          <w:spacing w:val="5"/>
          <w:kern w:val="28"/>
        </w:rPr>
        <w:t xml:space="preserve">dejando una </w:t>
      </w:r>
      <w:r w:rsidR="008955FB" w:rsidRPr="0047266B">
        <w:rPr>
          <w:rFonts w:ascii="Verdana" w:eastAsiaTheme="majorEastAsia" w:hAnsi="Verdana" w:cstheme="majorBidi"/>
          <w:b/>
          <w:color w:val="7030A0"/>
          <w:spacing w:val="5"/>
          <w:kern w:val="28"/>
        </w:rPr>
        <w:t>sociedad empobrecida y lastrando con ello a las generaciones futuras</w:t>
      </w:r>
      <w:r w:rsidR="003B75E9" w:rsidRPr="0047266B">
        <w:rPr>
          <w:rFonts w:ascii="Verdana" w:eastAsiaTheme="majorEastAsia" w:hAnsi="Verdana" w:cstheme="majorBidi"/>
          <w:b/>
          <w:color w:val="7030A0"/>
          <w:spacing w:val="5"/>
          <w:kern w:val="28"/>
        </w:rPr>
        <w:t>.</w:t>
      </w:r>
      <w:r w:rsidR="003B75E9">
        <w:rPr>
          <w:rFonts w:ascii="Verdana" w:eastAsiaTheme="majorEastAsia" w:hAnsi="Verdana" w:cstheme="majorBidi"/>
          <w:spacing w:val="5"/>
          <w:kern w:val="28"/>
        </w:rPr>
        <w:t xml:space="preserve"> Los datos demuestran que la pobreza se hereda de unas generaciones a otras</w:t>
      </w:r>
      <w:r w:rsidR="0047266B">
        <w:rPr>
          <w:rFonts w:ascii="Verdana" w:eastAsiaTheme="majorEastAsia" w:hAnsi="Verdana" w:cstheme="majorBidi"/>
          <w:spacing w:val="5"/>
          <w:kern w:val="28"/>
        </w:rPr>
        <w:t xml:space="preserve"> cuando no existe un estado del bienestar sólido que redistribuya la riqueza de manera equitativa.</w:t>
      </w:r>
    </w:p>
    <w:p w:rsidR="001D71B6" w:rsidRDefault="008955FB" w:rsidP="00A364A5">
      <w:pPr>
        <w:spacing w:line="360" w:lineRule="auto"/>
        <w:jc w:val="both"/>
        <w:rPr>
          <w:rFonts w:ascii="Verdana" w:eastAsiaTheme="majorEastAsia" w:hAnsi="Verdana" w:cstheme="majorBidi"/>
          <w:spacing w:val="5"/>
          <w:kern w:val="28"/>
        </w:rPr>
      </w:pPr>
      <w:r>
        <w:rPr>
          <w:rFonts w:ascii="Verdana" w:eastAsiaTheme="majorEastAsia" w:hAnsi="Verdana" w:cstheme="majorBidi"/>
          <w:spacing w:val="5"/>
          <w:kern w:val="28"/>
        </w:rPr>
        <w:t xml:space="preserve">Superados </w:t>
      </w:r>
      <w:r w:rsidR="00B60E6A">
        <w:rPr>
          <w:rFonts w:ascii="Verdana" w:eastAsiaTheme="majorEastAsia" w:hAnsi="Verdana" w:cstheme="majorBidi"/>
          <w:spacing w:val="5"/>
          <w:kern w:val="28"/>
        </w:rPr>
        <w:t xml:space="preserve">los años más duros de la crisis y cuando la situación económica comienza a mejorar a partir del año 2014, España </w:t>
      </w:r>
      <w:r w:rsidR="002E2C8B">
        <w:rPr>
          <w:rFonts w:ascii="Verdana" w:eastAsiaTheme="majorEastAsia" w:hAnsi="Verdana" w:cstheme="majorBidi"/>
          <w:spacing w:val="5"/>
          <w:kern w:val="28"/>
        </w:rPr>
        <w:t xml:space="preserve">se sitúa a la cabeza en cuanto a tasas de crecimiento económico </w:t>
      </w:r>
      <w:r w:rsidR="003B75E9">
        <w:rPr>
          <w:rFonts w:ascii="Verdana" w:eastAsiaTheme="majorEastAsia" w:hAnsi="Verdana" w:cstheme="majorBidi"/>
          <w:spacing w:val="5"/>
          <w:kern w:val="28"/>
        </w:rPr>
        <w:t xml:space="preserve">en el contexto europeo </w:t>
      </w:r>
      <w:r w:rsidR="002E2C8B">
        <w:rPr>
          <w:rFonts w:ascii="Verdana" w:eastAsiaTheme="majorEastAsia" w:hAnsi="Verdana" w:cstheme="majorBidi"/>
          <w:spacing w:val="5"/>
          <w:kern w:val="28"/>
        </w:rPr>
        <w:t xml:space="preserve">pero también en tasas de pobreza. </w:t>
      </w:r>
      <w:r w:rsidR="001D71B6">
        <w:rPr>
          <w:rFonts w:ascii="Verdana" w:eastAsiaTheme="majorEastAsia" w:hAnsi="Verdana" w:cstheme="majorBidi"/>
          <w:spacing w:val="5"/>
          <w:kern w:val="28"/>
        </w:rPr>
        <w:t xml:space="preserve">Sorprende que un </w:t>
      </w:r>
      <w:r w:rsidR="001D71B6" w:rsidRPr="002E2C8B">
        <w:rPr>
          <w:rFonts w:ascii="Verdana" w:eastAsiaTheme="majorEastAsia" w:hAnsi="Verdana" w:cstheme="majorBidi"/>
          <w:b/>
          <w:color w:val="7030A0"/>
          <w:spacing w:val="5"/>
          <w:kern w:val="28"/>
        </w:rPr>
        <w:t xml:space="preserve">país </w:t>
      </w:r>
      <w:r w:rsidR="001D71B6">
        <w:rPr>
          <w:rFonts w:ascii="Verdana" w:eastAsiaTheme="majorEastAsia" w:hAnsi="Verdana" w:cstheme="majorBidi"/>
          <w:spacing w:val="5"/>
          <w:kern w:val="28"/>
        </w:rPr>
        <w:t xml:space="preserve">con </w:t>
      </w:r>
      <w:r w:rsidR="001D71B6" w:rsidRPr="002E2C8B">
        <w:rPr>
          <w:rFonts w:ascii="Verdana" w:eastAsiaTheme="majorEastAsia" w:hAnsi="Verdana" w:cstheme="majorBidi"/>
          <w:b/>
          <w:color w:val="7030A0"/>
          <w:spacing w:val="5"/>
          <w:kern w:val="28"/>
        </w:rPr>
        <w:t>tasas de crecimiento en</w:t>
      </w:r>
      <w:r w:rsidR="001D71B6" w:rsidRPr="002E2C8B">
        <w:rPr>
          <w:rFonts w:ascii="Verdana" w:eastAsiaTheme="majorEastAsia" w:hAnsi="Verdana" w:cstheme="majorBidi"/>
          <w:color w:val="7030A0"/>
          <w:spacing w:val="5"/>
          <w:kern w:val="28"/>
        </w:rPr>
        <w:t xml:space="preserve"> </w:t>
      </w:r>
      <w:r w:rsidR="001D71B6" w:rsidRPr="002E2C8B">
        <w:rPr>
          <w:rFonts w:ascii="Verdana" w:eastAsiaTheme="majorEastAsia" w:hAnsi="Verdana" w:cstheme="majorBidi"/>
          <w:b/>
          <w:color w:val="7030A0"/>
          <w:spacing w:val="5"/>
          <w:kern w:val="28"/>
        </w:rPr>
        <w:t>torno al 3%</w:t>
      </w:r>
      <w:r w:rsidR="001D71B6">
        <w:rPr>
          <w:rFonts w:ascii="Verdana" w:eastAsiaTheme="majorEastAsia" w:hAnsi="Verdana" w:cstheme="majorBidi"/>
          <w:spacing w:val="5"/>
          <w:kern w:val="28"/>
        </w:rPr>
        <w:t xml:space="preserve">, tenga unos </w:t>
      </w:r>
      <w:r w:rsidR="001D71B6" w:rsidRPr="002E2C8B">
        <w:rPr>
          <w:rFonts w:ascii="Verdana" w:eastAsiaTheme="majorEastAsia" w:hAnsi="Verdana" w:cstheme="majorBidi"/>
          <w:b/>
          <w:color w:val="7030A0"/>
          <w:spacing w:val="5"/>
          <w:kern w:val="28"/>
        </w:rPr>
        <w:t>niveles de pobreza rozando el 28%</w:t>
      </w:r>
      <w:r w:rsidR="001D71B6">
        <w:rPr>
          <w:rFonts w:ascii="Verdana" w:eastAsiaTheme="majorEastAsia" w:hAnsi="Verdana" w:cstheme="majorBidi"/>
          <w:spacing w:val="5"/>
          <w:kern w:val="28"/>
        </w:rPr>
        <w:t xml:space="preserve"> (5 puntos por encima de la media europea).</w:t>
      </w:r>
    </w:p>
    <w:p w:rsidR="002E2C8B" w:rsidRDefault="002E2C8B" w:rsidP="00A364A5">
      <w:pPr>
        <w:spacing w:line="360" w:lineRule="auto"/>
        <w:jc w:val="both"/>
        <w:rPr>
          <w:rFonts w:ascii="Verdana" w:eastAsiaTheme="majorEastAsia" w:hAnsi="Verdana" w:cstheme="majorBidi"/>
          <w:spacing w:val="5"/>
          <w:kern w:val="28"/>
        </w:rPr>
      </w:pPr>
    </w:p>
    <w:p w:rsidR="003F089F" w:rsidRDefault="00B60E6A" w:rsidP="00A364A5">
      <w:pPr>
        <w:spacing w:line="360" w:lineRule="auto"/>
        <w:jc w:val="both"/>
        <w:rPr>
          <w:rFonts w:ascii="Verdana" w:eastAsiaTheme="majorEastAsia" w:hAnsi="Verdana" w:cstheme="majorBidi"/>
          <w:spacing w:val="5"/>
          <w:kern w:val="28"/>
        </w:rPr>
      </w:pPr>
      <w:r>
        <w:rPr>
          <w:rFonts w:ascii="Verdana" w:eastAsiaTheme="majorEastAsia" w:hAnsi="Verdana" w:cstheme="majorBidi"/>
          <w:spacing w:val="5"/>
          <w:kern w:val="28"/>
        </w:rPr>
        <w:t>Este contraste entre crecimiento y pobreza confirma cómo est</w:t>
      </w:r>
      <w:r w:rsidR="001D71B6">
        <w:rPr>
          <w:rFonts w:ascii="Verdana" w:eastAsiaTheme="majorEastAsia" w:hAnsi="Verdana" w:cstheme="majorBidi"/>
          <w:spacing w:val="5"/>
          <w:kern w:val="28"/>
        </w:rPr>
        <w:t>e</w:t>
      </w:r>
      <w:r>
        <w:rPr>
          <w:rFonts w:ascii="Verdana" w:eastAsiaTheme="majorEastAsia" w:hAnsi="Verdana" w:cstheme="majorBidi"/>
          <w:spacing w:val="5"/>
          <w:kern w:val="28"/>
        </w:rPr>
        <w:t xml:space="preserve"> </w:t>
      </w:r>
      <w:r w:rsidR="001D71B6" w:rsidRPr="002E2C8B">
        <w:rPr>
          <w:rFonts w:ascii="Verdana" w:eastAsiaTheme="majorEastAsia" w:hAnsi="Verdana" w:cstheme="majorBidi"/>
          <w:b/>
          <w:color w:val="7030A0"/>
          <w:spacing w:val="5"/>
          <w:kern w:val="28"/>
        </w:rPr>
        <w:t>crecimiento</w:t>
      </w:r>
      <w:r w:rsidRPr="002E2C8B">
        <w:rPr>
          <w:rFonts w:ascii="Verdana" w:eastAsiaTheme="majorEastAsia" w:hAnsi="Verdana" w:cstheme="majorBidi"/>
          <w:b/>
          <w:color w:val="7030A0"/>
          <w:spacing w:val="5"/>
          <w:kern w:val="28"/>
        </w:rPr>
        <w:t xml:space="preserve"> económic</w:t>
      </w:r>
      <w:r w:rsidR="001D71B6" w:rsidRPr="002E2C8B">
        <w:rPr>
          <w:rFonts w:ascii="Verdana" w:eastAsiaTheme="majorEastAsia" w:hAnsi="Verdana" w:cstheme="majorBidi"/>
          <w:b/>
          <w:color w:val="7030A0"/>
          <w:spacing w:val="5"/>
          <w:kern w:val="28"/>
        </w:rPr>
        <w:t>o</w:t>
      </w:r>
      <w:r w:rsidRPr="002E2C8B">
        <w:rPr>
          <w:rFonts w:ascii="Verdana" w:eastAsiaTheme="majorEastAsia" w:hAnsi="Verdana" w:cstheme="majorBidi"/>
          <w:b/>
          <w:color w:val="7030A0"/>
          <w:spacing w:val="5"/>
          <w:kern w:val="28"/>
        </w:rPr>
        <w:t xml:space="preserve"> </w:t>
      </w:r>
      <w:r w:rsidR="001D71B6" w:rsidRPr="002E2C8B">
        <w:rPr>
          <w:rFonts w:ascii="Verdana" w:eastAsiaTheme="majorEastAsia" w:hAnsi="Verdana" w:cstheme="majorBidi"/>
          <w:b/>
          <w:color w:val="7030A0"/>
          <w:spacing w:val="5"/>
          <w:kern w:val="28"/>
        </w:rPr>
        <w:t xml:space="preserve">no </w:t>
      </w:r>
      <w:r w:rsidRPr="002E2C8B">
        <w:rPr>
          <w:rFonts w:ascii="Verdana" w:eastAsiaTheme="majorEastAsia" w:hAnsi="Verdana" w:cstheme="majorBidi"/>
          <w:b/>
          <w:color w:val="7030A0"/>
          <w:spacing w:val="5"/>
          <w:kern w:val="28"/>
        </w:rPr>
        <w:t>se está repartiendo de manera equitativa</w:t>
      </w:r>
      <w:r w:rsidRPr="002E2C8B">
        <w:rPr>
          <w:rFonts w:ascii="Verdana" w:eastAsiaTheme="majorEastAsia" w:hAnsi="Verdana" w:cstheme="majorBidi"/>
          <w:color w:val="7030A0"/>
          <w:spacing w:val="5"/>
          <w:kern w:val="28"/>
        </w:rPr>
        <w:t>.</w:t>
      </w:r>
    </w:p>
    <w:p w:rsidR="00F15316" w:rsidRDefault="00F15316" w:rsidP="00A364A5">
      <w:pPr>
        <w:spacing w:line="360" w:lineRule="auto"/>
        <w:jc w:val="both"/>
        <w:rPr>
          <w:rFonts w:ascii="Verdana" w:eastAsiaTheme="majorEastAsia" w:hAnsi="Verdana" w:cstheme="majorBidi"/>
          <w:spacing w:val="5"/>
          <w:kern w:val="28"/>
        </w:rPr>
      </w:pPr>
    </w:p>
    <w:p w:rsidR="00EC390C" w:rsidRDefault="00221AC1" w:rsidP="00A364A5">
      <w:pPr>
        <w:spacing w:line="360" w:lineRule="auto"/>
        <w:jc w:val="both"/>
        <w:rPr>
          <w:rFonts w:ascii="Verdana" w:eastAsiaTheme="majorEastAsia" w:hAnsi="Verdana" w:cstheme="majorBidi"/>
          <w:spacing w:val="5"/>
          <w:kern w:val="28"/>
        </w:rPr>
      </w:pPr>
      <w:r>
        <w:rPr>
          <w:rFonts w:ascii="Verdana" w:eastAsiaTheme="majorEastAsia" w:hAnsi="Verdana" w:cstheme="majorBidi"/>
          <w:noProof/>
          <w:spacing w:val="5"/>
          <w:kern w:val="28"/>
          <w:lang w:eastAsia="es-ES"/>
        </w:rPr>
        <w:lastRenderedPageBreak/>
        <w:drawing>
          <wp:inline distT="0" distB="0" distL="0" distR="0">
            <wp:extent cx="5401531" cy="2703444"/>
            <wp:effectExtent l="19050" t="0" r="27719" b="1656"/>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8234C6">
        <w:rPr>
          <w:rFonts w:ascii="Verdana" w:eastAsiaTheme="majorEastAsia" w:hAnsi="Verdana" w:cstheme="majorBidi"/>
          <w:spacing w:val="5"/>
          <w:kern w:val="28"/>
        </w:rPr>
        <w:t xml:space="preserve"> </w:t>
      </w:r>
    </w:p>
    <w:p w:rsidR="00EC390C" w:rsidRDefault="008234C6" w:rsidP="00A364A5">
      <w:pPr>
        <w:spacing w:line="360" w:lineRule="auto"/>
        <w:jc w:val="both"/>
        <w:rPr>
          <w:rFonts w:ascii="Verdana" w:eastAsiaTheme="majorEastAsia" w:hAnsi="Verdana" w:cstheme="majorBidi"/>
          <w:spacing w:val="5"/>
          <w:kern w:val="28"/>
        </w:rPr>
      </w:pPr>
      <w:r>
        <w:rPr>
          <w:rFonts w:ascii="Verdana" w:eastAsiaTheme="majorEastAsia" w:hAnsi="Verdana" w:cstheme="majorBidi"/>
          <w:noProof/>
          <w:spacing w:val="5"/>
          <w:kern w:val="28"/>
          <w:lang w:eastAsia="es-ES"/>
        </w:rPr>
        <w:drawing>
          <wp:inline distT="0" distB="0" distL="0" distR="0">
            <wp:extent cx="5400289" cy="2544418"/>
            <wp:effectExtent l="19050" t="0" r="9911" b="8282"/>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234C6" w:rsidRPr="00221AC1" w:rsidRDefault="008234C6" w:rsidP="008234C6">
      <w:pPr>
        <w:spacing w:line="360" w:lineRule="auto"/>
        <w:jc w:val="both"/>
        <w:rPr>
          <w:rFonts w:ascii="Verdana" w:eastAsiaTheme="majorEastAsia" w:hAnsi="Verdana" w:cstheme="majorBidi"/>
          <w:spacing w:val="5"/>
          <w:kern w:val="28"/>
        </w:rPr>
      </w:pPr>
      <w:proofErr w:type="spellStart"/>
      <w:r w:rsidRPr="00221AC1">
        <w:rPr>
          <w:rFonts w:ascii="Verdana" w:eastAsiaTheme="majorEastAsia" w:hAnsi="Verdana" w:cstheme="majorBidi"/>
          <w:i/>
          <w:spacing w:val="5"/>
          <w:kern w:val="28"/>
          <w:sz w:val="18"/>
          <w:szCs w:val="18"/>
        </w:rPr>
        <w:t>Fte</w:t>
      </w:r>
      <w:proofErr w:type="spellEnd"/>
      <w:r w:rsidRPr="00221AC1">
        <w:rPr>
          <w:rFonts w:ascii="Verdana" w:eastAsiaTheme="majorEastAsia" w:hAnsi="Verdana" w:cstheme="majorBidi"/>
          <w:i/>
          <w:spacing w:val="5"/>
          <w:kern w:val="28"/>
          <w:sz w:val="18"/>
          <w:szCs w:val="18"/>
        </w:rPr>
        <w:t xml:space="preserve">: </w:t>
      </w:r>
      <w:proofErr w:type="spellStart"/>
      <w:r w:rsidRPr="00221AC1">
        <w:rPr>
          <w:rFonts w:ascii="Verdana" w:eastAsiaTheme="majorEastAsia" w:hAnsi="Verdana" w:cstheme="majorBidi"/>
          <w:i/>
          <w:spacing w:val="5"/>
          <w:kern w:val="28"/>
          <w:sz w:val="18"/>
          <w:szCs w:val="18"/>
        </w:rPr>
        <w:t>eurostat</w:t>
      </w:r>
      <w:proofErr w:type="spellEnd"/>
    </w:p>
    <w:p w:rsidR="008955FB" w:rsidRDefault="008955FB" w:rsidP="00A364A5">
      <w:pPr>
        <w:spacing w:line="360" w:lineRule="auto"/>
        <w:jc w:val="both"/>
        <w:rPr>
          <w:rFonts w:ascii="Verdana" w:eastAsiaTheme="majorEastAsia" w:hAnsi="Verdana" w:cstheme="majorBidi"/>
          <w:spacing w:val="5"/>
          <w:kern w:val="28"/>
        </w:rPr>
      </w:pPr>
    </w:p>
    <w:p w:rsidR="00365201" w:rsidRDefault="00365201" w:rsidP="00A364A5">
      <w:pPr>
        <w:spacing w:line="360" w:lineRule="auto"/>
        <w:jc w:val="both"/>
        <w:rPr>
          <w:rFonts w:ascii="Verdana" w:eastAsiaTheme="majorEastAsia" w:hAnsi="Verdana" w:cstheme="majorBidi"/>
          <w:spacing w:val="5"/>
          <w:kern w:val="28"/>
        </w:rPr>
      </w:pPr>
    </w:p>
    <w:p w:rsidR="00365201" w:rsidRDefault="00365201" w:rsidP="00A364A5">
      <w:pPr>
        <w:spacing w:line="360" w:lineRule="auto"/>
        <w:jc w:val="both"/>
        <w:rPr>
          <w:rFonts w:ascii="Verdana" w:eastAsiaTheme="majorEastAsia" w:hAnsi="Verdana" w:cstheme="majorBidi"/>
          <w:spacing w:val="5"/>
          <w:kern w:val="28"/>
        </w:rPr>
      </w:pPr>
    </w:p>
    <w:p w:rsidR="00A364A5" w:rsidRPr="00110BCE" w:rsidRDefault="00A364A5" w:rsidP="00110BCE">
      <w:pPr>
        <w:pStyle w:val="Prrafodelista"/>
        <w:numPr>
          <w:ilvl w:val="0"/>
          <w:numId w:val="3"/>
        </w:numPr>
        <w:spacing w:line="360" w:lineRule="auto"/>
        <w:jc w:val="both"/>
        <w:rPr>
          <w:rFonts w:ascii="Verdana" w:eastAsiaTheme="majorEastAsia" w:hAnsi="Verdana" w:cstheme="majorBidi"/>
          <w:b/>
          <w:color w:val="7030A0"/>
          <w:spacing w:val="5"/>
          <w:kern w:val="28"/>
        </w:rPr>
      </w:pPr>
      <w:r w:rsidRPr="00110BCE">
        <w:rPr>
          <w:rFonts w:ascii="Verdana" w:eastAsiaTheme="majorEastAsia" w:hAnsi="Verdana" w:cstheme="majorBidi"/>
          <w:b/>
          <w:color w:val="7030A0"/>
          <w:spacing w:val="5"/>
          <w:kern w:val="28"/>
        </w:rPr>
        <w:t>DETERIORO DE LAS CONDICIONES LABORALES</w:t>
      </w:r>
    </w:p>
    <w:p w:rsidR="00A364A5" w:rsidRPr="00F05FD6" w:rsidRDefault="00A364A5" w:rsidP="00A364A5">
      <w:pPr>
        <w:spacing w:line="360" w:lineRule="auto"/>
        <w:jc w:val="both"/>
        <w:rPr>
          <w:rFonts w:ascii="Verdana" w:eastAsiaTheme="majorEastAsia" w:hAnsi="Verdana" w:cstheme="majorBidi"/>
          <w:spacing w:val="5"/>
          <w:kern w:val="28"/>
        </w:rPr>
      </w:pPr>
      <w:r w:rsidRPr="00F05FD6">
        <w:rPr>
          <w:rFonts w:ascii="Verdana" w:eastAsiaTheme="majorEastAsia" w:hAnsi="Verdana" w:cstheme="majorBidi"/>
          <w:spacing w:val="5"/>
          <w:kern w:val="28"/>
        </w:rPr>
        <w:t>La reforma laboral impuesta por el PP en el año 2012, una de las más lesivas</w:t>
      </w:r>
      <w:r w:rsidR="00221AC1">
        <w:rPr>
          <w:rFonts w:ascii="Verdana" w:eastAsiaTheme="majorEastAsia" w:hAnsi="Verdana" w:cstheme="majorBidi"/>
          <w:spacing w:val="5"/>
          <w:kern w:val="28"/>
        </w:rPr>
        <w:t>,</w:t>
      </w:r>
      <w:r w:rsidRPr="00F05FD6">
        <w:rPr>
          <w:rFonts w:ascii="Verdana" w:eastAsiaTheme="majorEastAsia" w:hAnsi="Verdana" w:cstheme="majorBidi"/>
          <w:spacing w:val="5"/>
          <w:kern w:val="28"/>
        </w:rPr>
        <w:t xml:space="preserve"> ha traído como consecuencia una total desregulación del mercado laboral y con ello una degradación de l</w:t>
      </w:r>
      <w:r w:rsidR="00221AC1">
        <w:rPr>
          <w:rFonts w:ascii="Verdana" w:eastAsiaTheme="majorEastAsia" w:hAnsi="Verdana" w:cstheme="majorBidi"/>
          <w:spacing w:val="5"/>
          <w:kern w:val="28"/>
        </w:rPr>
        <w:t>as condiciones laborales</w:t>
      </w:r>
      <w:r w:rsidR="002E2C8B">
        <w:rPr>
          <w:rFonts w:ascii="Verdana" w:eastAsiaTheme="majorEastAsia" w:hAnsi="Verdana" w:cstheme="majorBidi"/>
          <w:spacing w:val="5"/>
          <w:kern w:val="28"/>
        </w:rPr>
        <w:t xml:space="preserve"> </w:t>
      </w:r>
      <w:r w:rsidR="002E2C8B">
        <w:rPr>
          <w:rFonts w:ascii="Verdana" w:eastAsiaTheme="majorEastAsia" w:hAnsi="Verdana" w:cstheme="majorBidi"/>
          <w:spacing w:val="5"/>
          <w:kern w:val="28"/>
        </w:rPr>
        <w:lastRenderedPageBreak/>
        <w:t>sin precedentes</w:t>
      </w:r>
      <w:r w:rsidR="00221AC1">
        <w:rPr>
          <w:rFonts w:ascii="Verdana" w:eastAsiaTheme="majorEastAsia" w:hAnsi="Verdana" w:cstheme="majorBidi"/>
          <w:spacing w:val="5"/>
          <w:kern w:val="28"/>
        </w:rPr>
        <w:t>. N</w:t>
      </w:r>
      <w:r w:rsidRPr="00F05FD6">
        <w:rPr>
          <w:rFonts w:ascii="Verdana" w:eastAsiaTheme="majorEastAsia" w:hAnsi="Verdana" w:cstheme="majorBidi"/>
          <w:spacing w:val="5"/>
          <w:kern w:val="28"/>
        </w:rPr>
        <w:t>ormativa</w:t>
      </w:r>
      <w:r w:rsidR="00221AC1">
        <w:rPr>
          <w:rFonts w:ascii="Verdana" w:eastAsiaTheme="majorEastAsia" w:hAnsi="Verdana" w:cstheme="majorBidi"/>
          <w:spacing w:val="5"/>
          <w:kern w:val="28"/>
        </w:rPr>
        <w:t xml:space="preserve"> que</w:t>
      </w:r>
      <w:r w:rsidRPr="00F05FD6">
        <w:rPr>
          <w:rFonts w:ascii="Verdana" w:eastAsiaTheme="majorEastAsia" w:hAnsi="Verdana" w:cstheme="majorBidi"/>
          <w:spacing w:val="5"/>
          <w:kern w:val="28"/>
        </w:rPr>
        <w:t xml:space="preserve"> fue aprovechada por las empresas de nuestro país para ganar competitividad a base de reducir salarios. </w:t>
      </w:r>
    </w:p>
    <w:p w:rsidR="00A364A5" w:rsidRPr="00055374" w:rsidRDefault="002B64FA" w:rsidP="00A364A5">
      <w:pPr>
        <w:spacing w:line="360" w:lineRule="auto"/>
        <w:jc w:val="both"/>
        <w:rPr>
          <w:rFonts w:ascii="Verdana" w:eastAsiaTheme="majorEastAsia" w:hAnsi="Verdana" w:cstheme="majorBidi"/>
          <w:b/>
          <w:color w:val="7030A0"/>
          <w:spacing w:val="5"/>
          <w:kern w:val="28"/>
        </w:rPr>
      </w:pPr>
      <w:r w:rsidRPr="00F05FD6">
        <w:rPr>
          <w:rFonts w:ascii="Verdana" w:eastAsiaTheme="majorEastAsia" w:hAnsi="Verdana" w:cstheme="majorBidi"/>
          <w:spacing w:val="5"/>
          <w:kern w:val="28"/>
        </w:rPr>
        <w:t xml:space="preserve">Esta degradación de las condiciones laborales ha hecho emerger la figura del </w:t>
      </w:r>
      <w:r w:rsidRPr="00365201">
        <w:rPr>
          <w:rFonts w:ascii="Verdana" w:eastAsiaTheme="majorEastAsia" w:hAnsi="Verdana" w:cstheme="majorBidi"/>
          <w:b/>
          <w:color w:val="7030A0"/>
          <w:spacing w:val="5"/>
          <w:kern w:val="28"/>
        </w:rPr>
        <w:t>“trabajador pobre”</w:t>
      </w:r>
      <w:r w:rsidRPr="00F05FD6">
        <w:rPr>
          <w:rFonts w:ascii="Verdana" w:eastAsiaTheme="majorEastAsia" w:hAnsi="Verdana" w:cstheme="majorBidi"/>
          <w:spacing w:val="5"/>
          <w:kern w:val="28"/>
        </w:rPr>
        <w:t>, ello significa que contar con un empleo ya no es una condición suficiente para escapar de la pobreza. En nuestro país</w:t>
      </w:r>
      <w:r w:rsidR="00055374">
        <w:rPr>
          <w:rFonts w:ascii="Verdana" w:eastAsiaTheme="majorEastAsia" w:hAnsi="Verdana" w:cstheme="majorBidi"/>
          <w:spacing w:val="5"/>
          <w:kern w:val="28"/>
        </w:rPr>
        <w:t>,</w:t>
      </w:r>
      <w:r w:rsidRPr="00F05FD6">
        <w:rPr>
          <w:rFonts w:ascii="Verdana" w:eastAsiaTheme="majorEastAsia" w:hAnsi="Verdana" w:cstheme="majorBidi"/>
          <w:spacing w:val="5"/>
          <w:kern w:val="28"/>
        </w:rPr>
        <w:t xml:space="preserve"> </w:t>
      </w:r>
      <w:r w:rsidR="00BB2ECD">
        <w:rPr>
          <w:rFonts w:ascii="Verdana" w:eastAsiaTheme="majorEastAsia" w:hAnsi="Verdana" w:cstheme="majorBidi"/>
          <w:spacing w:val="5"/>
          <w:kern w:val="28"/>
        </w:rPr>
        <w:t>el</w:t>
      </w:r>
      <w:r w:rsidRPr="00047008">
        <w:rPr>
          <w:rFonts w:ascii="Verdana" w:eastAsiaTheme="majorEastAsia" w:hAnsi="Verdana" w:cstheme="majorBidi"/>
          <w:spacing w:val="5"/>
          <w:kern w:val="28"/>
        </w:rPr>
        <w:t xml:space="preserve"> </w:t>
      </w:r>
      <w:r w:rsidR="00C5573E" w:rsidRPr="00055374">
        <w:rPr>
          <w:rFonts w:ascii="Verdana" w:eastAsiaTheme="majorEastAsia" w:hAnsi="Verdana" w:cstheme="majorBidi"/>
          <w:b/>
          <w:color w:val="7030A0"/>
          <w:spacing w:val="5"/>
          <w:kern w:val="28"/>
        </w:rPr>
        <w:t>15% de los o</w:t>
      </w:r>
      <w:r w:rsidRPr="00055374">
        <w:rPr>
          <w:rFonts w:ascii="Verdana" w:eastAsiaTheme="majorEastAsia" w:hAnsi="Verdana" w:cstheme="majorBidi"/>
          <w:b/>
          <w:color w:val="7030A0"/>
          <w:spacing w:val="5"/>
          <w:kern w:val="28"/>
        </w:rPr>
        <w:t>cupados</w:t>
      </w:r>
      <w:r w:rsidRPr="00047008">
        <w:rPr>
          <w:rFonts w:ascii="Verdana" w:eastAsiaTheme="majorEastAsia" w:hAnsi="Verdana" w:cstheme="majorBidi"/>
          <w:spacing w:val="5"/>
          <w:kern w:val="28"/>
        </w:rPr>
        <w:t xml:space="preserve"> se</w:t>
      </w:r>
      <w:r w:rsidRPr="00F05FD6">
        <w:rPr>
          <w:rFonts w:ascii="Verdana" w:eastAsiaTheme="majorEastAsia" w:hAnsi="Verdana" w:cstheme="majorBidi"/>
          <w:spacing w:val="5"/>
          <w:kern w:val="28"/>
        </w:rPr>
        <w:t xml:space="preserve"> encuentra en </w:t>
      </w:r>
      <w:r w:rsidRPr="00055374">
        <w:rPr>
          <w:rFonts w:ascii="Verdana" w:eastAsiaTheme="majorEastAsia" w:hAnsi="Verdana" w:cstheme="majorBidi"/>
          <w:b/>
          <w:color w:val="7030A0"/>
          <w:spacing w:val="5"/>
          <w:kern w:val="28"/>
        </w:rPr>
        <w:t>riesgo de pobreza o exclusión social.</w:t>
      </w:r>
    </w:p>
    <w:p w:rsidR="00F370F8" w:rsidRDefault="00055374" w:rsidP="00A364A5">
      <w:pPr>
        <w:spacing w:line="360" w:lineRule="auto"/>
        <w:jc w:val="both"/>
        <w:rPr>
          <w:rFonts w:ascii="Verdana" w:eastAsiaTheme="majorEastAsia" w:hAnsi="Verdana" w:cstheme="majorBidi"/>
          <w:spacing w:val="5"/>
          <w:kern w:val="28"/>
        </w:rPr>
      </w:pPr>
      <w:r>
        <w:rPr>
          <w:rFonts w:ascii="Verdana" w:eastAsiaTheme="majorEastAsia" w:hAnsi="Verdana" w:cstheme="majorBidi"/>
          <w:noProof/>
          <w:spacing w:val="5"/>
          <w:kern w:val="28"/>
          <w:lang w:eastAsia="es-ES"/>
        </w:rPr>
        <w:drawing>
          <wp:anchor distT="0" distB="0" distL="114300" distR="114300" simplePos="0" relativeHeight="251668480" behindDoc="0" locked="0" layoutInCell="1" allowOverlap="1">
            <wp:simplePos x="0" y="0"/>
            <wp:positionH relativeFrom="margin">
              <wp:posOffset>2143125</wp:posOffset>
            </wp:positionH>
            <wp:positionV relativeFrom="margin">
              <wp:posOffset>6057265</wp:posOffset>
            </wp:positionV>
            <wp:extent cx="3518535" cy="2194560"/>
            <wp:effectExtent l="19050" t="0" r="24765" b="0"/>
            <wp:wrapSquare wrapText="bothSides"/>
            <wp:docPr id="9"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9D2FE7">
        <w:rPr>
          <w:rFonts w:ascii="Verdana" w:eastAsiaTheme="majorEastAsia" w:hAnsi="Verdana" w:cstheme="majorBidi"/>
          <w:spacing w:val="5"/>
          <w:kern w:val="28"/>
        </w:rPr>
        <w:t>El COVID ha</w:t>
      </w:r>
      <w:r w:rsidR="000D38D3">
        <w:rPr>
          <w:rFonts w:ascii="Verdana" w:eastAsiaTheme="majorEastAsia" w:hAnsi="Verdana" w:cstheme="majorBidi"/>
          <w:spacing w:val="5"/>
          <w:kern w:val="28"/>
        </w:rPr>
        <w:t xml:space="preserve"> tenido un impacto desigual, afectando en mayor medida a ciertos colectivos. Los trabajadores más precarios han sido doblemente castigados, se han visto menos favorecidos por mecanismos como el teletrabajo</w:t>
      </w:r>
      <w:r>
        <w:rPr>
          <w:rFonts w:ascii="Verdana" w:eastAsiaTheme="majorEastAsia" w:hAnsi="Verdana" w:cstheme="majorBidi"/>
          <w:spacing w:val="5"/>
          <w:kern w:val="28"/>
        </w:rPr>
        <w:t>,</w:t>
      </w:r>
      <w:r w:rsidR="000D38D3">
        <w:rPr>
          <w:rFonts w:ascii="Verdana" w:eastAsiaTheme="majorEastAsia" w:hAnsi="Verdana" w:cstheme="majorBidi"/>
          <w:spacing w:val="5"/>
          <w:kern w:val="28"/>
        </w:rPr>
        <w:t xml:space="preserve"> aumenta</w:t>
      </w:r>
      <w:r>
        <w:rPr>
          <w:rFonts w:ascii="Verdana" w:eastAsiaTheme="majorEastAsia" w:hAnsi="Verdana" w:cstheme="majorBidi"/>
          <w:spacing w:val="5"/>
          <w:kern w:val="28"/>
        </w:rPr>
        <w:t>n</w:t>
      </w:r>
      <w:r w:rsidR="006D12B0">
        <w:rPr>
          <w:rFonts w:ascii="Verdana" w:eastAsiaTheme="majorEastAsia" w:hAnsi="Verdana" w:cstheme="majorBidi"/>
          <w:spacing w:val="5"/>
          <w:kern w:val="28"/>
        </w:rPr>
        <w:t>do</w:t>
      </w:r>
      <w:r w:rsidR="000D38D3">
        <w:rPr>
          <w:rFonts w:ascii="Verdana" w:eastAsiaTheme="majorEastAsia" w:hAnsi="Verdana" w:cstheme="majorBidi"/>
          <w:spacing w:val="5"/>
          <w:kern w:val="28"/>
        </w:rPr>
        <w:t xml:space="preserve"> </w:t>
      </w:r>
      <w:r>
        <w:rPr>
          <w:rFonts w:ascii="Verdana" w:eastAsiaTheme="majorEastAsia" w:hAnsi="Verdana" w:cstheme="majorBidi"/>
          <w:spacing w:val="5"/>
          <w:kern w:val="28"/>
        </w:rPr>
        <w:t xml:space="preserve">con ello </w:t>
      </w:r>
      <w:r w:rsidR="000D38D3">
        <w:rPr>
          <w:rFonts w:ascii="Verdana" w:eastAsiaTheme="majorEastAsia" w:hAnsi="Verdana" w:cstheme="majorBidi"/>
          <w:spacing w:val="5"/>
          <w:kern w:val="28"/>
        </w:rPr>
        <w:t xml:space="preserve">el riesgo sobre su salud al estar más expuestos a un mayor riesgo de contagio. </w:t>
      </w:r>
      <w:r w:rsidR="00F370F8">
        <w:rPr>
          <w:rFonts w:ascii="Verdana" w:eastAsiaTheme="majorEastAsia" w:hAnsi="Verdana" w:cstheme="majorBidi"/>
          <w:spacing w:val="5"/>
          <w:kern w:val="28"/>
        </w:rPr>
        <w:t>Además han sido los primeros en ser expulsados del mercado de trabajo y han tenido menores posibilidades de acogerse a los ERTES COVID</w:t>
      </w:r>
      <w:r w:rsidR="006D12B0">
        <w:rPr>
          <w:rFonts w:ascii="Verdana" w:eastAsiaTheme="majorEastAsia" w:hAnsi="Verdana" w:cstheme="majorBidi"/>
          <w:spacing w:val="5"/>
          <w:kern w:val="28"/>
        </w:rPr>
        <w:t xml:space="preserve"> por tener empleos temporales</w:t>
      </w:r>
      <w:r w:rsidR="00F370F8">
        <w:rPr>
          <w:rFonts w:ascii="Verdana" w:eastAsiaTheme="majorEastAsia" w:hAnsi="Verdana" w:cstheme="majorBidi"/>
          <w:spacing w:val="5"/>
          <w:kern w:val="28"/>
        </w:rPr>
        <w:t xml:space="preserve">. </w:t>
      </w:r>
      <w:r>
        <w:rPr>
          <w:rFonts w:ascii="Verdana" w:eastAsiaTheme="majorEastAsia" w:hAnsi="Verdana" w:cstheme="majorBidi"/>
          <w:spacing w:val="5"/>
          <w:kern w:val="28"/>
        </w:rPr>
        <w:t>C</w:t>
      </w:r>
      <w:r w:rsidR="00F370F8">
        <w:rPr>
          <w:rFonts w:ascii="Verdana" w:eastAsiaTheme="majorEastAsia" w:hAnsi="Verdana" w:cstheme="majorBidi"/>
          <w:spacing w:val="5"/>
          <w:kern w:val="28"/>
        </w:rPr>
        <w:t xml:space="preserve">uando </w:t>
      </w:r>
      <w:r>
        <w:rPr>
          <w:rFonts w:ascii="Verdana" w:eastAsiaTheme="majorEastAsia" w:hAnsi="Verdana" w:cstheme="majorBidi"/>
          <w:spacing w:val="5"/>
          <w:kern w:val="28"/>
        </w:rPr>
        <w:t>han podido acogerse a</w:t>
      </w:r>
      <w:r w:rsidR="00F370F8">
        <w:rPr>
          <w:rFonts w:ascii="Verdana" w:eastAsiaTheme="majorEastAsia" w:hAnsi="Verdana" w:cstheme="majorBidi"/>
          <w:spacing w:val="5"/>
          <w:kern w:val="28"/>
        </w:rPr>
        <w:t xml:space="preserve"> estas medidas sus ingresos eran menores</w:t>
      </w:r>
      <w:r>
        <w:rPr>
          <w:rFonts w:ascii="Verdana" w:eastAsiaTheme="majorEastAsia" w:hAnsi="Verdana" w:cstheme="majorBidi"/>
          <w:spacing w:val="5"/>
          <w:kern w:val="28"/>
        </w:rPr>
        <w:t>, ya que</w:t>
      </w:r>
      <w:r w:rsidR="00F370F8">
        <w:rPr>
          <w:rFonts w:ascii="Verdana" w:eastAsiaTheme="majorEastAsia" w:hAnsi="Verdana" w:cstheme="majorBidi"/>
          <w:spacing w:val="5"/>
          <w:kern w:val="28"/>
        </w:rPr>
        <w:t xml:space="preserve"> </w:t>
      </w:r>
      <w:r>
        <w:rPr>
          <w:rFonts w:ascii="Verdana" w:eastAsiaTheme="majorEastAsia" w:hAnsi="Verdana" w:cstheme="majorBidi"/>
          <w:spacing w:val="5"/>
          <w:kern w:val="28"/>
        </w:rPr>
        <w:t>partían</w:t>
      </w:r>
      <w:r w:rsidR="00F370F8">
        <w:rPr>
          <w:rFonts w:ascii="Verdana" w:eastAsiaTheme="majorEastAsia" w:hAnsi="Verdana" w:cstheme="majorBidi"/>
          <w:spacing w:val="5"/>
          <w:kern w:val="28"/>
        </w:rPr>
        <w:t xml:space="preserve"> de unas bases de cotización </w:t>
      </w:r>
      <w:r w:rsidR="006D12B0">
        <w:rPr>
          <w:rFonts w:ascii="Verdana" w:eastAsiaTheme="majorEastAsia" w:hAnsi="Verdana" w:cstheme="majorBidi"/>
          <w:spacing w:val="5"/>
          <w:kern w:val="28"/>
        </w:rPr>
        <w:t>inferi</w:t>
      </w:r>
      <w:r w:rsidR="00F370F8">
        <w:rPr>
          <w:rFonts w:ascii="Verdana" w:eastAsiaTheme="majorEastAsia" w:hAnsi="Verdana" w:cstheme="majorBidi"/>
          <w:spacing w:val="5"/>
          <w:kern w:val="28"/>
        </w:rPr>
        <w:t>ores por el abuso de la contratación a tiempo parcial, que en la mayoría de los casos suele ser fraudulenta.</w:t>
      </w:r>
    </w:p>
    <w:p w:rsidR="000D38D3" w:rsidRDefault="00F370F8" w:rsidP="00A364A5">
      <w:pPr>
        <w:spacing w:line="360" w:lineRule="auto"/>
        <w:jc w:val="both"/>
        <w:rPr>
          <w:rFonts w:ascii="Verdana" w:eastAsiaTheme="majorEastAsia" w:hAnsi="Verdana" w:cstheme="majorBidi"/>
          <w:spacing w:val="5"/>
          <w:kern w:val="28"/>
        </w:rPr>
      </w:pPr>
      <w:r>
        <w:rPr>
          <w:rFonts w:ascii="Verdana" w:eastAsiaTheme="majorEastAsia" w:hAnsi="Verdana" w:cstheme="majorBidi"/>
          <w:spacing w:val="5"/>
          <w:kern w:val="28"/>
        </w:rPr>
        <w:t xml:space="preserve">El COVID ha </w:t>
      </w:r>
      <w:r w:rsidR="006D12B0">
        <w:rPr>
          <w:rFonts w:ascii="Verdana" w:eastAsiaTheme="majorEastAsia" w:hAnsi="Verdana" w:cstheme="majorBidi"/>
          <w:spacing w:val="5"/>
          <w:kern w:val="28"/>
        </w:rPr>
        <w:t>disparado el desempleo</w:t>
      </w:r>
      <w:r>
        <w:rPr>
          <w:rFonts w:ascii="Verdana" w:eastAsiaTheme="majorEastAsia" w:hAnsi="Verdana" w:cstheme="majorBidi"/>
          <w:spacing w:val="5"/>
          <w:kern w:val="28"/>
        </w:rPr>
        <w:t xml:space="preserve">, </w:t>
      </w:r>
      <w:r w:rsidR="006D12B0">
        <w:rPr>
          <w:rFonts w:ascii="Verdana" w:eastAsiaTheme="majorEastAsia" w:hAnsi="Verdana" w:cstheme="majorBidi"/>
          <w:spacing w:val="5"/>
          <w:kern w:val="28"/>
        </w:rPr>
        <w:t>subida</w:t>
      </w:r>
      <w:r>
        <w:rPr>
          <w:rFonts w:ascii="Verdana" w:eastAsiaTheme="majorEastAsia" w:hAnsi="Verdana" w:cstheme="majorBidi"/>
          <w:spacing w:val="5"/>
          <w:kern w:val="28"/>
        </w:rPr>
        <w:t xml:space="preserve"> </w:t>
      </w:r>
      <w:r w:rsidR="00055374">
        <w:rPr>
          <w:rFonts w:ascii="Verdana" w:eastAsiaTheme="majorEastAsia" w:hAnsi="Verdana" w:cstheme="majorBidi"/>
          <w:spacing w:val="5"/>
          <w:kern w:val="28"/>
        </w:rPr>
        <w:t xml:space="preserve">que </w:t>
      </w:r>
      <w:r w:rsidR="006D12B0">
        <w:rPr>
          <w:rFonts w:ascii="Verdana" w:eastAsiaTheme="majorEastAsia" w:hAnsi="Verdana" w:cstheme="majorBidi"/>
          <w:spacing w:val="5"/>
          <w:kern w:val="28"/>
        </w:rPr>
        <w:t>habría</w:t>
      </w:r>
      <w:r>
        <w:rPr>
          <w:rFonts w:ascii="Verdana" w:eastAsiaTheme="majorEastAsia" w:hAnsi="Verdana" w:cstheme="majorBidi"/>
          <w:spacing w:val="5"/>
          <w:kern w:val="28"/>
        </w:rPr>
        <w:t xml:space="preserve"> sido aún mayor de no existir los ERTES, y deja en Asturias 8.500 parados más que hace un año. </w:t>
      </w:r>
      <w:r w:rsidR="00365201">
        <w:rPr>
          <w:rFonts w:ascii="Verdana" w:eastAsiaTheme="majorEastAsia" w:hAnsi="Verdana" w:cstheme="majorBidi"/>
          <w:spacing w:val="5"/>
          <w:kern w:val="28"/>
        </w:rPr>
        <w:t>La subida del desempleo ha sido más intensa entre los hombres, los jóvenes (menores de 25 años), los extranjeros y la población con menores niveles educativos.</w:t>
      </w:r>
    </w:p>
    <w:p w:rsidR="000D38D3" w:rsidRDefault="000D38D3" w:rsidP="00A364A5">
      <w:pPr>
        <w:spacing w:line="360" w:lineRule="auto"/>
        <w:jc w:val="both"/>
        <w:rPr>
          <w:rFonts w:ascii="Verdana" w:eastAsiaTheme="majorEastAsia" w:hAnsi="Verdana" w:cstheme="majorBidi"/>
          <w:spacing w:val="5"/>
          <w:kern w:val="28"/>
        </w:rPr>
      </w:pPr>
    </w:p>
    <w:p w:rsidR="00A364A5" w:rsidRPr="00F05FD6" w:rsidRDefault="009E2ABA" w:rsidP="00110BCE">
      <w:pPr>
        <w:pStyle w:val="Prrafodelista"/>
        <w:numPr>
          <w:ilvl w:val="0"/>
          <w:numId w:val="16"/>
        </w:numPr>
        <w:spacing w:line="360" w:lineRule="auto"/>
        <w:jc w:val="both"/>
        <w:rPr>
          <w:rFonts w:ascii="Verdana" w:eastAsiaTheme="majorEastAsia" w:hAnsi="Verdana" w:cstheme="majorBidi"/>
          <w:b/>
          <w:color w:val="7030A0"/>
          <w:spacing w:val="5"/>
          <w:kern w:val="28"/>
        </w:rPr>
      </w:pPr>
      <w:r w:rsidRPr="00F05FD6">
        <w:rPr>
          <w:rFonts w:ascii="Verdana" w:eastAsiaTheme="majorEastAsia" w:hAnsi="Verdana" w:cstheme="majorBidi"/>
          <w:b/>
          <w:color w:val="7030A0"/>
          <w:spacing w:val="5"/>
          <w:kern w:val="28"/>
        </w:rPr>
        <w:t>DEVALUACIÓN SALARIAL</w:t>
      </w:r>
    </w:p>
    <w:p w:rsidR="00A364A5" w:rsidRPr="00F05FD6" w:rsidRDefault="00B90F78" w:rsidP="00A364A5">
      <w:pPr>
        <w:spacing w:line="360" w:lineRule="auto"/>
        <w:jc w:val="both"/>
        <w:rPr>
          <w:rFonts w:ascii="Verdana" w:eastAsiaTheme="majorEastAsia" w:hAnsi="Verdana" w:cstheme="majorBidi"/>
          <w:spacing w:val="5"/>
          <w:kern w:val="28"/>
        </w:rPr>
      </w:pPr>
      <w:r w:rsidRPr="00F05FD6">
        <w:rPr>
          <w:rFonts w:ascii="Verdana" w:eastAsiaTheme="majorEastAsia" w:hAnsi="Verdana" w:cstheme="majorBidi"/>
          <w:spacing w:val="5"/>
          <w:kern w:val="28"/>
        </w:rPr>
        <w:t xml:space="preserve">Analizando las distintas estadísticas sobre salarios se </w:t>
      </w:r>
      <w:r w:rsidR="00365201">
        <w:rPr>
          <w:rFonts w:ascii="Verdana" w:eastAsiaTheme="majorEastAsia" w:hAnsi="Verdana" w:cstheme="majorBidi"/>
          <w:spacing w:val="5"/>
          <w:kern w:val="28"/>
        </w:rPr>
        <w:t>constata</w:t>
      </w:r>
      <w:r w:rsidRPr="00F05FD6">
        <w:rPr>
          <w:rFonts w:ascii="Verdana" w:eastAsiaTheme="majorEastAsia" w:hAnsi="Verdana" w:cstheme="majorBidi"/>
          <w:spacing w:val="5"/>
          <w:kern w:val="28"/>
        </w:rPr>
        <w:t xml:space="preserve"> la fuerte devaluación salarial en los últimos años.</w:t>
      </w:r>
    </w:p>
    <w:p w:rsidR="00365201" w:rsidRDefault="00C5573E" w:rsidP="00C5573E">
      <w:pPr>
        <w:spacing w:line="360" w:lineRule="auto"/>
        <w:jc w:val="both"/>
        <w:rPr>
          <w:rFonts w:ascii="Verdana" w:eastAsiaTheme="majorEastAsia" w:hAnsi="Verdana" w:cstheme="majorBidi"/>
          <w:spacing w:val="5"/>
          <w:kern w:val="28"/>
        </w:rPr>
      </w:pPr>
      <w:r w:rsidRPr="00F05FD6">
        <w:rPr>
          <w:rFonts w:ascii="Verdana" w:eastAsiaTheme="majorEastAsia" w:hAnsi="Verdana" w:cstheme="majorBidi"/>
          <w:spacing w:val="5"/>
          <w:kern w:val="28"/>
        </w:rPr>
        <w:lastRenderedPageBreak/>
        <w:t xml:space="preserve">La Encuesta Trimestral de Coste Laboral también confirma que los </w:t>
      </w:r>
      <w:r w:rsidRPr="00365201">
        <w:rPr>
          <w:rFonts w:ascii="Verdana" w:eastAsiaTheme="majorEastAsia" w:hAnsi="Verdana" w:cstheme="majorBidi"/>
          <w:b/>
          <w:color w:val="7030A0"/>
          <w:spacing w:val="5"/>
          <w:kern w:val="28"/>
        </w:rPr>
        <w:t>salarios continúan perdiendo poder adquisitivo</w:t>
      </w:r>
      <w:r w:rsidRPr="00F05FD6">
        <w:rPr>
          <w:rFonts w:ascii="Verdana" w:eastAsiaTheme="majorEastAsia" w:hAnsi="Verdana" w:cstheme="majorBidi"/>
          <w:spacing w:val="5"/>
          <w:kern w:val="28"/>
        </w:rPr>
        <w:t xml:space="preserve"> en Asturias</w:t>
      </w:r>
      <w:r w:rsidR="00365201">
        <w:rPr>
          <w:rFonts w:ascii="Verdana" w:eastAsiaTheme="majorEastAsia" w:hAnsi="Verdana" w:cstheme="majorBidi"/>
          <w:spacing w:val="5"/>
          <w:kern w:val="28"/>
        </w:rPr>
        <w:t>.</w:t>
      </w:r>
      <w:r w:rsidR="00365201" w:rsidRPr="00365201">
        <w:rPr>
          <w:rFonts w:ascii="Verdana" w:eastAsiaTheme="majorEastAsia" w:hAnsi="Verdana" w:cstheme="majorBidi"/>
          <w:spacing w:val="5"/>
          <w:kern w:val="28"/>
        </w:rPr>
        <w:t xml:space="preserve"> </w:t>
      </w:r>
      <w:r w:rsidR="00365201" w:rsidRPr="00F05FD6">
        <w:rPr>
          <w:rFonts w:ascii="Verdana" w:eastAsiaTheme="majorEastAsia" w:hAnsi="Verdana" w:cstheme="majorBidi"/>
          <w:spacing w:val="5"/>
          <w:kern w:val="28"/>
        </w:rPr>
        <w:t xml:space="preserve">En el primer trimestre de 2021, los salarios han caído en Asturias un 1,7% en términos nominales, esta caída junto con el continuo aumento de los precios en la primera parte del año, propiciado fundamentalmente por el aumento de los combustibles, provocan que los </w:t>
      </w:r>
      <w:r w:rsidR="00365201" w:rsidRPr="00365201">
        <w:rPr>
          <w:rFonts w:ascii="Verdana" w:eastAsiaTheme="majorEastAsia" w:hAnsi="Verdana" w:cstheme="majorBidi"/>
          <w:b/>
          <w:color w:val="7030A0"/>
          <w:spacing w:val="5"/>
          <w:kern w:val="28"/>
        </w:rPr>
        <w:t>salarios arrojen una caída real del 2,3%</w:t>
      </w:r>
      <w:r w:rsidRPr="00F05FD6">
        <w:rPr>
          <w:rFonts w:ascii="Verdana" w:eastAsiaTheme="majorEastAsia" w:hAnsi="Verdana" w:cstheme="majorBidi"/>
          <w:spacing w:val="5"/>
          <w:kern w:val="28"/>
        </w:rPr>
        <w:t xml:space="preserve"> (en España presentan una ganancia real de 0,</w:t>
      </w:r>
      <w:r w:rsidR="008F5995">
        <w:rPr>
          <w:rFonts w:ascii="Verdana" w:eastAsiaTheme="majorEastAsia" w:hAnsi="Verdana" w:cstheme="majorBidi"/>
          <w:spacing w:val="5"/>
          <w:kern w:val="28"/>
        </w:rPr>
        <w:t>4</w:t>
      </w:r>
      <w:r w:rsidRPr="00F05FD6">
        <w:rPr>
          <w:rFonts w:ascii="Verdana" w:eastAsiaTheme="majorEastAsia" w:hAnsi="Verdana" w:cstheme="majorBidi"/>
          <w:spacing w:val="5"/>
          <w:kern w:val="28"/>
        </w:rPr>
        <w:t xml:space="preserve"> puntos). </w:t>
      </w:r>
    </w:p>
    <w:p w:rsidR="00365201" w:rsidRPr="00F05FD6" w:rsidRDefault="00C5573E" w:rsidP="00A364A5">
      <w:pPr>
        <w:spacing w:line="360" w:lineRule="auto"/>
        <w:jc w:val="both"/>
        <w:rPr>
          <w:rFonts w:ascii="Verdana" w:eastAsiaTheme="majorEastAsia" w:hAnsi="Verdana" w:cstheme="majorBidi"/>
          <w:spacing w:val="5"/>
          <w:kern w:val="28"/>
        </w:rPr>
      </w:pPr>
      <w:r w:rsidRPr="00365201">
        <w:rPr>
          <w:rFonts w:ascii="Verdana" w:eastAsiaTheme="majorEastAsia" w:hAnsi="Verdana" w:cstheme="majorBidi"/>
          <w:b/>
          <w:color w:val="7030A0"/>
          <w:spacing w:val="5"/>
          <w:kern w:val="28"/>
        </w:rPr>
        <w:t>Desde el año 2010</w:t>
      </w:r>
      <w:r w:rsidRPr="00F05FD6">
        <w:rPr>
          <w:rFonts w:ascii="Verdana" w:eastAsiaTheme="majorEastAsia" w:hAnsi="Verdana" w:cstheme="majorBidi"/>
          <w:b/>
          <w:spacing w:val="5"/>
          <w:kern w:val="28"/>
        </w:rPr>
        <w:t xml:space="preserve"> </w:t>
      </w:r>
      <w:r w:rsidRPr="00F05FD6">
        <w:rPr>
          <w:rFonts w:ascii="Verdana" w:eastAsiaTheme="majorEastAsia" w:hAnsi="Verdana" w:cstheme="majorBidi"/>
          <w:spacing w:val="5"/>
          <w:kern w:val="28"/>
        </w:rPr>
        <w:t xml:space="preserve">los salarios acumulan una </w:t>
      </w:r>
      <w:r w:rsidRPr="00365201">
        <w:rPr>
          <w:rFonts w:ascii="Verdana" w:eastAsiaTheme="majorEastAsia" w:hAnsi="Verdana" w:cstheme="majorBidi"/>
          <w:b/>
          <w:color w:val="7030A0"/>
          <w:spacing w:val="5"/>
          <w:kern w:val="28"/>
        </w:rPr>
        <w:t>pérdida de poder adquisitivo de 8,5 puntos porcentuales</w:t>
      </w:r>
      <w:r w:rsidR="00365201">
        <w:rPr>
          <w:rFonts w:ascii="Verdana" w:eastAsiaTheme="majorEastAsia" w:hAnsi="Verdana" w:cstheme="majorBidi"/>
          <w:spacing w:val="5"/>
          <w:kern w:val="28"/>
        </w:rPr>
        <w:t xml:space="preserve"> (9,3 puntos porcentuales en España).</w:t>
      </w:r>
    </w:p>
    <w:p w:rsidR="00A364A5" w:rsidRPr="00F05FD6" w:rsidRDefault="00A364A5" w:rsidP="00A364A5">
      <w:pPr>
        <w:spacing w:line="360" w:lineRule="auto"/>
        <w:jc w:val="both"/>
        <w:rPr>
          <w:rFonts w:ascii="Verdana" w:eastAsiaTheme="majorEastAsia" w:hAnsi="Verdana" w:cstheme="majorBidi"/>
          <w:spacing w:val="5"/>
          <w:kern w:val="28"/>
        </w:rPr>
      </w:pPr>
      <w:r w:rsidRPr="00F05FD6">
        <w:rPr>
          <w:rFonts w:ascii="Verdana" w:eastAsiaTheme="majorEastAsia" w:hAnsi="Verdana" w:cstheme="majorBidi"/>
          <w:noProof/>
          <w:spacing w:val="5"/>
          <w:kern w:val="28"/>
          <w:lang w:eastAsia="es-ES"/>
        </w:rPr>
        <w:drawing>
          <wp:inline distT="0" distB="0" distL="0" distR="0">
            <wp:extent cx="5400040" cy="3150235"/>
            <wp:effectExtent l="19050" t="0" r="10160" b="0"/>
            <wp:docPr id="10"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90F78" w:rsidRPr="00F05FD6" w:rsidRDefault="00B90F78" w:rsidP="001F0498">
      <w:pPr>
        <w:pStyle w:val="fuente"/>
        <w:spacing w:after="0" w:line="240" w:lineRule="auto"/>
        <w:rPr>
          <w:rFonts w:ascii="Verdana" w:hAnsi="Verdana"/>
          <w:sz w:val="18"/>
          <w:szCs w:val="18"/>
        </w:rPr>
      </w:pPr>
      <w:r w:rsidRPr="00F05FD6">
        <w:rPr>
          <w:rFonts w:ascii="Verdana" w:hAnsi="Verdana"/>
          <w:sz w:val="18"/>
          <w:szCs w:val="18"/>
        </w:rPr>
        <w:t>Los datos del año 2021 son referidos al primer trimestre</w:t>
      </w:r>
    </w:p>
    <w:p w:rsidR="001F0498" w:rsidRPr="00F05FD6" w:rsidRDefault="001F0498" w:rsidP="001F0498">
      <w:pPr>
        <w:pStyle w:val="fuente"/>
        <w:spacing w:after="0" w:line="240" w:lineRule="auto"/>
        <w:rPr>
          <w:rFonts w:ascii="Verdana" w:hAnsi="Verdana"/>
          <w:b/>
          <w:color w:val="00B050"/>
          <w:sz w:val="18"/>
          <w:szCs w:val="18"/>
          <w:u w:val="single"/>
        </w:rPr>
      </w:pPr>
      <w:proofErr w:type="spellStart"/>
      <w:r w:rsidRPr="00F05FD6">
        <w:rPr>
          <w:rFonts w:ascii="Verdana" w:hAnsi="Verdana"/>
          <w:sz w:val="18"/>
          <w:szCs w:val="18"/>
        </w:rPr>
        <w:t>Fte</w:t>
      </w:r>
      <w:proofErr w:type="spellEnd"/>
      <w:r w:rsidRPr="00F05FD6">
        <w:rPr>
          <w:rFonts w:ascii="Verdana" w:hAnsi="Verdana"/>
          <w:sz w:val="18"/>
          <w:szCs w:val="18"/>
        </w:rPr>
        <w:t>: elaboración propia a través de datos del INE “Encuesta Trimestral de Coste Laboral” e IPC</w:t>
      </w:r>
    </w:p>
    <w:p w:rsidR="003A294D" w:rsidRPr="00F05FD6" w:rsidRDefault="003A294D" w:rsidP="00A364A5">
      <w:pPr>
        <w:spacing w:line="360" w:lineRule="auto"/>
        <w:jc w:val="both"/>
        <w:rPr>
          <w:rFonts w:ascii="Verdana" w:hAnsi="Verdana"/>
        </w:rPr>
      </w:pPr>
    </w:p>
    <w:p w:rsidR="003A294D" w:rsidRPr="00F05FD6" w:rsidRDefault="003A294D" w:rsidP="00A364A5">
      <w:pPr>
        <w:spacing w:line="360" w:lineRule="auto"/>
        <w:jc w:val="both"/>
        <w:rPr>
          <w:rFonts w:ascii="Verdana" w:hAnsi="Verdana"/>
        </w:rPr>
      </w:pPr>
      <w:r w:rsidRPr="00F05FD6">
        <w:rPr>
          <w:rFonts w:ascii="Verdana" w:hAnsi="Verdana"/>
        </w:rPr>
        <w:t xml:space="preserve">De acuerdo con los </w:t>
      </w:r>
      <w:proofErr w:type="spellStart"/>
      <w:r w:rsidRPr="00F05FD6">
        <w:rPr>
          <w:rFonts w:ascii="Verdana" w:hAnsi="Verdana"/>
        </w:rPr>
        <w:t>deciles</w:t>
      </w:r>
      <w:proofErr w:type="spellEnd"/>
      <w:r w:rsidRPr="00F05FD6">
        <w:rPr>
          <w:rFonts w:ascii="Verdana" w:hAnsi="Verdana"/>
        </w:rPr>
        <w:t xml:space="preserve"> de la EPA, el salario medio bruto mensual en Asturias se situó en 2.078,3 euros</w:t>
      </w:r>
      <w:r w:rsidR="00C23712">
        <w:rPr>
          <w:rFonts w:ascii="Verdana" w:hAnsi="Verdana"/>
        </w:rPr>
        <w:t xml:space="preserve"> en 2019. </w:t>
      </w:r>
      <w:r w:rsidR="00DC391C" w:rsidRPr="00F05FD6">
        <w:rPr>
          <w:rFonts w:ascii="Verdana" w:hAnsi="Verdana"/>
        </w:rPr>
        <w:t xml:space="preserve">En 14 pagas sería 1.781,4 euros mensuales brutos. </w:t>
      </w:r>
      <w:r w:rsidR="00F16B40" w:rsidRPr="00F05FD6">
        <w:rPr>
          <w:rFonts w:ascii="Verdana" w:hAnsi="Verdana"/>
        </w:rPr>
        <w:t xml:space="preserve">Además en torno al </w:t>
      </w:r>
      <w:r w:rsidR="00F16B40" w:rsidRPr="00365201">
        <w:rPr>
          <w:rFonts w:ascii="Verdana" w:hAnsi="Verdana"/>
          <w:b/>
          <w:color w:val="7030A0"/>
        </w:rPr>
        <w:t>40% de los asalariados asturianos ingresan salarios medios mensuales inferiores a los 1.000 euros</w:t>
      </w:r>
      <w:r w:rsidR="00F16B40" w:rsidRPr="00F05FD6">
        <w:rPr>
          <w:rFonts w:ascii="Verdana" w:hAnsi="Verdana"/>
        </w:rPr>
        <w:t>.</w:t>
      </w:r>
    </w:p>
    <w:p w:rsidR="0058138B" w:rsidRPr="00AD2E2E" w:rsidRDefault="0058138B" w:rsidP="00A364A5">
      <w:pPr>
        <w:spacing w:line="360" w:lineRule="auto"/>
        <w:jc w:val="both"/>
        <w:rPr>
          <w:rFonts w:ascii="Verdana" w:hAnsi="Verdana"/>
          <w:color w:val="7030A0"/>
        </w:rPr>
      </w:pPr>
      <w:r w:rsidRPr="00F05FD6">
        <w:rPr>
          <w:rFonts w:ascii="Verdana" w:hAnsi="Verdana"/>
        </w:rPr>
        <w:lastRenderedPageBreak/>
        <w:t xml:space="preserve">Esta devaluación salarial de los últimos años también se </w:t>
      </w:r>
      <w:r w:rsidR="00AD2E2E">
        <w:rPr>
          <w:rFonts w:ascii="Verdana" w:hAnsi="Verdana"/>
        </w:rPr>
        <w:t>verifica</w:t>
      </w:r>
      <w:r w:rsidRPr="00F05FD6">
        <w:rPr>
          <w:rFonts w:ascii="Verdana" w:hAnsi="Verdana"/>
        </w:rPr>
        <w:t xml:space="preserve"> con el análisis del peso que las remuneraciones de los asalariados tienen sobre la distribución de la riqueza.</w:t>
      </w:r>
      <w:r w:rsidR="00055374">
        <w:rPr>
          <w:rFonts w:ascii="Verdana" w:hAnsi="Verdana"/>
        </w:rPr>
        <w:t xml:space="preserve"> Se aprecia có</w:t>
      </w:r>
      <w:r w:rsidR="00B90F78" w:rsidRPr="00F05FD6">
        <w:rPr>
          <w:rFonts w:ascii="Verdana" w:hAnsi="Verdana"/>
        </w:rPr>
        <w:t xml:space="preserve">mo </w:t>
      </w:r>
      <w:r w:rsidR="00055374">
        <w:rPr>
          <w:rFonts w:ascii="Verdana" w:hAnsi="Verdana"/>
        </w:rPr>
        <w:t xml:space="preserve">en los últimos diez años, </w:t>
      </w:r>
      <w:r w:rsidR="00B90F78" w:rsidRPr="00F05FD6">
        <w:rPr>
          <w:rFonts w:ascii="Verdana" w:hAnsi="Verdana"/>
        </w:rPr>
        <w:t xml:space="preserve">los </w:t>
      </w:r>
      <w:r w:rsidR="00B90F78" w:rsidRPr="00AD2E2E">
        <w:rPr>
          <w:rFonts w:ascii="Verdana" w:hAnsi="Verdana"/>
          <w:b/>
          <w:color w:val="7030A0"/>
        </w:rPr>
        <w:t>salarios han perdido 3,2 puntos porcentuales.</w:t>
      </w:r>
    </w:p>
    <w:p w:rsidR="00365201" w:rsidRPr="00F05FD6" w:rsidRDefault="0058138B" w:rsidP="00365201">
      <w:pPr>
        <w:spacing w:line="360" w:lineRule="auto"/>
        <w:jc w:val="both"/>
        <w:rPr>
          <w:rFonts w:ascii="Verdana" w:eastAsiaTheme="majorEastAsia" w:hAnsi="Verdana" w:cstheme="majorBidi"/>
          <w:spacing w:val="5"/>
          <w:kern w:val="28"/>
        </w:rPr>
      </w:pPr>
      <w:r>
        <w:rPr>
          <w:rFonts w:ascii="Verdana" w:hAnsi="Verdana"/>
        </w:rPr>
        <w:t xml:space="preserve"> </w:t>
      </w:r>
    </w:p>
    <w:p w:rsidR="007B7D42" w:rsidRDefault="007B7D42" w:rsidP="00A364A5">
      <w:pPr>
        <w:spacing w:line="360" w:lineRule="auto"/>
        <w:jc w:val="both"/>
        <w:rPr>
          <w:rFonts w:ascii="Verdana" w:hAnsi="Verdana"/>
        </w:rPr>
      </w:pPr>
    </w:p>
    <w:p w:rsidR="007B7D42" w:rsidRDefault="009F2387" w:rsidP="00A364A5">
      <w:pPr>
        <w:spacing w:line="360" w:lineRule="auto"/>
        <w:jc w:val="both"/>
        <w:rPr>
          <w:rFonts w:ascii="Verdana" w:hAnsi="Verdana"/>
          <w:noProof/>
          <w:lang w:eastAsia="es-ES"/>
        </w:rPr>
      </w:pPr>
      <w:r>
        <w:rPr>
          <w:rFonts w:ascii="Verdana" w:hAnsi="Verdana"/>
          <w:noProof/>
          <w:lang w:eastAsia="es-ES"/>
        </w:rPr>
        <w:drawing>
          <wp:inline distT="0" distB="0" distL="0" distR="0">
            <wp:extent cx="5400040" cy="3150235"/>
            <wp:effectExtent l="19050" t="0" r="1016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F2387" w:rsidRPr="00666673" w:rsidRDefault="009F2387" w:rsidP="009F2387">
      <w:pPr>
        <w:spacing w:line="360" w:lineRule="auto"/>
        <w:jc w:val="both"/>
        <w:rPr>
          <w:rFonts w:ascii="Verdana" w:hAnsi="Verdana"/>
          <w:i/>
          <w:sz w:val="18"/>
          <w:szCs w:val="18"/>
        </w:rPr>
      </w:pPr>
      <w:proofErr w:type="spellStart"/>
      <w:r w:rsidRPr="00666673">
        <w:rPr>
          <w:rFonts w:ascii="Verdana" w:hAnsi="Verdana"/>
          <w:i/>
          <w:sz w:val="18"/>
          <w:szCs w:val="18"/>
        </w:rPr>
        <w:t>Fte</w:t>
      </w:r>
      <w:proofErr w:type="spellEnd"/>
      <w:r w:rsidRPr="00666673">
        <w:rPr>
          <w:rFonts w:ascii="Verdana" w:hAnsi="Verdana"/>
          <w:i/>
          <w:sz w:val="18"/>
          <w:szCs w:val="18"/>
        </w:rPr>
        <w:t>: elaboración propia a través de datos del INE, Contabilidad Regional de España</w:t>
      </w:r>
    </w:p>
    <w:p w:rsidR="007B7D42" w:rsidRDefault="007B7D42" w:rsidP="00615CD3">
      <w:pPr>
        <w:spacing w:line="360" w:lineRule="auto"/>
        <w:jc w:val="both"/>
        <w:rPr>
          <w:rFonts w:ascii="Verdana" w:hAnsi="Verdana"/>
          <w:noProof/>
          <w:lang w:eastAsia="es-ES"/>
        </w:rPr>
      </w:pPr>
    </w:p>
    <w:p w:rsidR="00AD2E2E" w:rsidRDefault="00AD2E2E" w:rsidP="00615CD3">
      <w:pPr>
        <w:spacing w:line="360" w:lineRule="auto"/>
        <w:jc w:val="both"/>
        <w:rPr>
          <w:rFonts w:ascii="Verdana" w:hAnsi="Verdana"/>
          <w:noProof/>
          <w:lang w:eastAsia="es-ES"/>
        </w:rPr>
      </w:pPr>
    </w:p>
    <w:p w:rsidR="00AD2E2E" w:rsidRDefault="00AD2E2E" w:rsidP="00615CD3">
      <w:pPr>
        <w:spacing w:line="360" w:lineRule="auto"/>
        <w:jc w:val="both"/>
        <w:rPr>
          <w:rFonts w:ascii="Verdana" w:hAnsi="Verdana"/>
          <w:noProof/>
          <w:lang w:eastAsia="es-ES"/>
        </w:rPr>
      </w:pPr>
    </w:p>
    <w:p w:rsidR="00AD2E2E" w:rsidRDefault="00AD2E2E" w:rsidP="00615CD3">
      <w:pPr>
        <w:spacing w:line="360" w:lineRule="auto"/>
        <w:jc w:val="both"/>
        <w:rPr>
          <w:rFonts w:ascii="Verdana" w:hAnsi="Verdana"/>
          <w:noProof/>
          <w:lang w:eastAsia="es-ES"/>
        </w:rPr>
      </w:pPr>
    </w:p>
    <w:p w:rsidR="00AD2E2E" w:rsidRDefault="00AD2E2E" w:rsidP="00615CD3">
      <w:pPr>
        <w:spacing w:line="360" w:lineRule="auto"/>
        <w:jc w:val="both"/>
        <w:rPr>
          <w:rFonts w:ascii="Verdana" w:hAnsi="Verdana"/>
          <w:noProof/>
          <w:lang w:eastAsia="es-ES"/>
        </w:rPr>
      </w:pPr>
    </w:p>
    <w:p w:rsidR="00C96711" w:rsidRPr="008201D7" w:rsidRDefault="00C96711" w:rsidP="008513FE">
      <w:pPr>
        <w:pBdr>
          <w:top w:val="single" w:sz="12" w:space="1" w:color="7030A0"/>
          <w:left w:val="single" w:sz="12" w:space="4" w:color="7030A0"/>
          <w:bottom w:val="single" w:sz="12" w:space="1" w:color="7030A0"/>
          <w:right w:val="single" w:sz="12" w:space="4" w:color="7030A0"/>
        </w:pBdr>
        <w:spacing w:line="360" w:lineRule="auto"/>
        <w:jc w:val="both"/>
        <w:rPr>
          <w:rFonts w:ascii="Verdana" w:hAnsi="Verdana"/>
          <w:i/>
          <w:color w:val="7030A0"/>
        </w:rPr>
      </w:pPr>
      <w:r w:rsidRPr="008201D7">
        <w:rPr>
          <w:rFonts w:ascii="Verdana" w:hAnsi="Verdana"/>
          <w:i/>
          <w:color w:val="7030A0"/>
        </w:rPr>
        <w:t>Es necesario y urgente impulsar los salarios para fortalecer el consumo y con ello generar actividad económica y empleo. En este sentido, desde la UGT demandamos a la patronal se siente a negociar un nuevo AENC, tras la finalización del último Acuerdo al término del año</w:t>
      </w:r>
      <w:r w:rsidR="008201D7" w:rsidRPr="008201D7">
        <w:rPr>
          <w:rFonts w:ascii="Verdana" w:hAnsi="Verdana"/>
          <w:i/>
          <w:color w:val="7030A0"/>
        </w:rPr>
        <w:t xml:space="preserve"> 2020</w:t>
      </w:r>
      <w:r w:rsidR="0033640D">
        <w:rPr>
          <w:rFonts w:ascii="Verdana" w:hAnsi="Verdana"/>
          <w:i/>
          <w:color w:val="7030A0"/>
        </w:rPr>
        <w:t>,</w:t>
      </w:r>
      <w:r w:rsidR="008201D7" w:rsidRPr="008201D7">
        <w:rPr>
          <w:rFonts w:ascii="Verdana" w:hAnsi="Verdana"/>
          <w:i/>
          <w:color w:val="7030A0"/>
        </w:rPr>
        <w:t xml:space="preserve"> para que los salarios recuperen </w:t>
      </w:r>
      <w:r w:rsidR="0033640D">
        <w:rPr>
          <w:rFonts w:ascii="Verdana" w:hAnsi="Verdana"/>
          <w:i/>
          <w:color w:val="7030A0"/>
        </w:rPr>
        <w:t xml:space="preserve">el </w:t>
      </w:r>
      <w:r w:rsidR="008201D7" w:rsidRPr="008201D7">
        <w:rPr>
          <w:rFonts w:ascii="Verdana" w:hAnsi="Verdana"/>
          <w:i/>
          <w:color w:val="7030A0"/>
        </w:rPr>
        <w:t>poder de compra perdido.</w:t>
      </w:r>
    </w:p>
    <w:p w:rsidR="0006572D" w:rsidRDefault="0010491F" w:rsidP="008513FE">
      <w:pPr>
        <w:pBdr>
          <w:top w:val="single" w:sz="12" w:space="1" w:color="7030A0"/>
          <w:left w:val="single" w:sz="12" w:space="4" w:color="7030A0"/>
          <w:bottom w:val="single" w:sz="12" w:space="1" w:color="7030A0"/>
          <w:right w:val="single" w:sz="12" w:space="4" w:color="7030A0"/>
        </w:pBdr>
        <w:spacing w:line="360" w:lineRule="auto"/>
        <w:jc w:val="both"/>
        <w:rPr>
          <w:rFonts w:ascii="Verdana" w:eastAsiaTheme="majorEastAsia" w:hAnsi="Verdana" w:cstheme="majorBidi"/>
          <w:i/>
          <w:color w:val="7030A0"/>
          <w:spacing w:val="5"/>
          <w:kern w:val="28"/>
        </w:rPr>
      </w:pPr>
      <w:r w:rsidRPr="008201D7">
        <w:rPr>
          <w:rFonts w:ascii="Verdana" w:eastAsiaTheme="majorEastAsia" w:hAnsi="Verdana" w:cstheme="majorBidi"/>
          <w:i/>
          <w:color w:val="7030A0"/>
          <w:spacing w:val="5"/>
          <w:kern w:val="28"/>
        </w:rPr>
        <w:lastRenderedPageBreak/>
        <w:t>Desde la UGT continuamos con la campaña de movilizaciones #</w:t>
      </w:r>
      <w:proofErr w:type="spellStart"/>
      <w:r w:rsidRPr="008201D7">
        <w:rPr>
          <w:rFonts w:ascii="Verdana" w:eastAsiaTheme="majorEastAsia" w:hAnsi="Verdana" w:cstheme="majorBidi"/>
          <w:i/>
          <w:color w:val="7030A0"/>
          <w:spacing w:val="5"/>
          <w:kern w:val="28"/>
        </w:rPr>
        <w:t>AhorasíToca</w:t>
      </w:r>
      <w:proofErr w:type="spellEnd"/>
      <w:r w:rsidR="008201D7" w:rsidRPr="008201D7">
        <w:rPr>
          <w:rFonts w:ascii="Verdana" w:eastAsiaTheme="majorEastAsia" w:hAnsi="Verdana" w:cstheme="majorBidi"/>
          <w:i/>
          <w:color w:val="7030A0"/>
          <w:spacing w:val="5"/>
          <w:kern w:val="28"/>
        </w:rPr>
        <w:t xml:space="preserve"> iniciada </w:t>
      </w:r>
      <w:r w:rsidR="008F5995">
        <w:rPr>
          <w:rFonts w:ascii="Verdana" w:eastAsiaTheme="majorEastAsia" w:hAnsi="Verdana" w:cstheme="majorBidi"/>
          <w:i/>
          <w:color w:val="7030A0"/>
          <w:spacing w:val="5"/>
          <w:kern w:val="28"/>
        </w:rPr>
        <w:t>a comienzos</w:t>
      </w:r>
      <w:r w:rsidR="008201D7" w:rsidRPr="008201D7">
        <w:rPr>
          <w:rFonts w:ascii="Verdana" w:eastAsiaTheme="majorEastAsia" w:hAnsi="Verdana" w:cstheme="majorBidi"/>
          <w:i/>
          <w:color w:val="7030A0"/>
          <w:spacing w:val="5"/>
          <w:kern w:val="28"/>
        </w:rPr>
        <w:t xml:space="preserve"> del año para exigir al Gobierno que cumpla sus compromisos de:</w:t>
      </w:r>
      <w:r w:rsidR="00615CD3">
        <w:rPr>
          <w:rFonts w:ascii="Verdana" w:eastAsiaTheme="majorEastAsia" w:hAnsi="Verdana" w:cstheme="majorBidi"/>
          <w:i/>
          <w:color w:val="7030A0"/>
          <w:spacing w:val="5"/>
          <w:kern w:val="28"/>
        </w:rPr>
        <w:t xml:space="preserve"> </w:t>
      </w:r>
    </w:p>
    <w:p w:rsidR="0006572D" w:rsidRDefault="00B90F78" w:rsidP="008513FE">
      <w:pPr>
        <w:pBdr>
          <w:top w:val="single" w:sz="12" w:space="1" w:color="7030A0"/>
          <w:left w:val="single" w:sz="12" w:space="4" w:color="7030A0"/>
          <w:bottom w:val="single" w:sz="12" w:space="1" w:color="7030A0"/>
          <w:right w:val="single" w:sz="12" w:space="4" w:color="7030A0"/>
        </w:pBdr>
        <w:spacing w:line="360" w:lineRule="auto"/>
        <w:ind w:firstLine="360"/>
        <w:jc w:val="both"/>
        <w:rPr>
          <w:rFonts w:ascii="Verdana" w:eastAsiaTheme="majorEastAsia" w:hAnsi="Verdana" w:cstheme="majorBidi"/>
          <w:i/>
          <w:color w:val="7030A0"/>
          <w:spacing w:val="5"/>
          <w:kern w:val="28"/>
        </w:rPr>
      </w:pPr>
      <w:r w:rsidRPr="00615CD3">
        <w:rPr>
          <w:rFonts w:ascii="Verdana" w:eastAsiaTheme="majorEastAsia" w:hAnsi="Verdana" w:cstheme="majorBidi"/>
          <w:i/>
          <w:color w:val="7030A0"/>
          <w:spacing w:val="5"/>
          <w:kern w:val="28"/>
        </w:rPr>
        <w:t>Aume</w:t>
      </w:r>
      <w:r w:rsidR="0033640D">
        <w:rPr>
          <w:rFonts w:ascii="Verdana" w:eastAsiaTheme="majorEastAsia" w:hAnsi="Verdana" w:cstheme="majorBidi"/>
          <w:i/>
          <w:color w:val="7030A0"/>
          <w:spacing w:val="5"/>
          <w:kern w:val="28"/>
        </w:rPr>
        <w:t xml:space="preserve">ntar el SMI en el presente año, y así se sitúe </w:t>
      </w:r>
      <w:r w:rsidRPr="00615CD3">
        <w:rPr>
          <w:rFonts w:ascii="Verdana" w:eastAsiaTheme="majorEastAsia" w:hAnsi="Verdana" w:cstheme="majorBidi"/>
          <w:i/>
          <w:color w:val="7030A0"/>
          <w:spacing w:val="5"/>
          <w:kern w:val="28"/>
        </w:rPr>
        <w:t>en el 60% del salario medio en el año 2023. Además esta subida beneficiará a los colectivos más vulnerables y que han estado muy expuestos en los momentos más duros de la pandemia.</w:t>
      </w:r>
      <w:r w:rsidR="00615CD3">
        <w:rPr>
          <w:rFonts w:ascii="Verdana" w:eastAsiaTheme="majorEastAsia" w:hAnsi="Verdana" w:cstheme="majorBidi"/>
          <w:i/>
          <w:color w:val="7030A0"/>
          <w:spacing w:val="5"/>
          <w:kern w:val="28"/>
        </w:rPr>
        <w:t xml:space="preserve"> </w:t>
      </w:r>
    </w:p>
    <w:p w:rsidR="00AD2E2E" w:rsidRPr="00047008" w:rsidRDefault="00B90F78" w:rsidP="00047008">
      <w:pPr>
        <w:pBdr>
          <w:top w:val="single" w:sz="12" w:space="1" w:color="7030A0"/>
          <w:left w:val="single" w:sz="12" w:space="4" w:color="7030A0"/>
          <w:bottom w:val="single" w:sz="12" w:space="1" w:color="7030A0"/>
          <w:right w:val="single" w:sz="12" w:space="4" w:color="7030A0"/>
        </w:pBdr>
        <w:spacing w:line="360" w:lineRule="auto"/>
        <w:ind w:firstLine="360"/>
        <w:jc w:val="both"/>
        <w:rPr>
          <w:rFonts w:ascii="Verdana" w:eastAsiaTheme="majorEastAsia" w:hAnsi="Verdana" w:cstheme="majorBidi"/>
          <w:i/>
          <w:color w:val="7030A0"/>
          <w:spacing w:val="5"/>
          <w:kern w:val="28"/>
        </w:rPr>
      </w:pPr>
      <w:r w:rsidRPr="00615CD3">
        <w:rPr>
          <w:rFonts w:ascii="Verdana" w:eastAsiaTheme="majorEastAsia" w:hAnsi="Verdana" w:cstheme="majorBidi"/>
          <w:i/>
          <w:color w:val="7030A0"/>
          <w:spacing w:val="5"/>
          <w:kern w:val="28"/>
        </w:rPr>
        <w:t>Derogar la reforma laboral para mejorar las condiciones laborales</w:t>
      </w:r>
    </w:p>
    <w:p w:rsidR="0033640D" w:rsidRDefault="0033640D" w:rsidP="0033640D">
      <w:pPr>
        <w:pStyle w:val="Prrafodelista"/>
        <w:spacing w:line="360" w:lineRule="auto"/>
        <w:jc w:val="both"/>
        <w:rPr>
          <w:rFonts w:ascii="Verdana" w:eastAsiaTheme="majorEastAsia" w:hAnsi="Verdana" w:cstheme="majorBidi"/>
          <w:b/>
          <w:color w:val="7030A0"/>
          <w:spacing w:val="5"/>
          <w:kern w:val="28"/>
        </w:rPr>
      </w:pPr>
    </w:p>
    <w:p w:rsidR="00542BD2" w:rsidRDefault="00542BD2" w:rsidP="00542BD2">
      <w:pPr>
        <w:pStyle w:val="Prrafodelista"/>
        <w:numPr>
          <w:ilvl w:val="0"/>
          <w:numId w:val="16"/>
        </w:numPr>
        <w:spacing w:line="360" w:lineRule="auto"/>
        <w:jc w:val="both"/>
        <w:rPr>
          <w:rFonts w:ascii="Verdana" w:eastAsiaTheme="majorEastAsia" w:hAnsi="Verdana" w:cstheme="majorBidi"/>
          <w:b/>
          <w:color w:val="7030A0"/>
          <w:spacing w:val="5"/>
          <w:kern w:val="28"/>
        </w:rPr>
      </w:pPr>
      <w:r>
        <w:rPr>
          <w:rFonts w:ascii="Verdana" w:eastAsiaTheme="majorEastAsia" w:hAnsi="Verdana" w:cstheme="majorBidi"/>
          <w:b/>
          <w:color w:val="7030A0"/>
          <w:spacing w:val="5"/>
          <w:kern w:val="28"/>
        </w:rPr>
        <w:t>ESCALADA EN LOS PRECIOS DE BIENES ESENCIALES</w:t>
      </w:r>
    </w:p>
    <w:p w:rsidR="00C419F7" w:rsidRDefault="00CA36BA" w:rsidP="00542BD2">
      <w:pPr>
        <w:spacing w:line="360" w:lineRule="auto"/>
        <w:jc w:val="both"/>
        <w:rPr>
          <w:rFonts w:ascii="Verdana" w:eastAsiaTheme="majorEastAsia" w:hAnsi="Verdana" w:cstheme="majorBidi"/>
          <w:spacing w:val="5"/>
          <w:kern w:val="28"/>
        </w:rPr>
      </w:pPr>
      <w:r w:rsidRPr="00CA36BA">
        <w:rPr>
          <w:rFonts w:ascii="Verdana" w:eastAsiaTheme="majorEastAsia" w:hAnsi="Verdana" w:cstheme="majorBidi"/>
          <w:spacing w:val="5"/>
          <w:kern w:val="28"/>
        </w:rPr>
        <w:t xml:space="preserve">La </w:t>
      </w:r>
      <w:r w:rsidR="00C44DA2">
        <w:rPr>
          <w:rFonts w:ascii="Verdana" w:eastAsiaTheme="majorEastAsia" w:hAnsi="Verdana" w:cstheme="majorBidi"/>
          <w:spacing w:val="5"/>
          <w:kern w:val="28"/>
        </w:rPr>
        <w:t xml:space="preserve">completa desregulación del mercado de la vivienda generó una </w:t>
      </w:r>
      <w:r w:rsidRPr="00CA36BA">
        <w:rPr>
          <w:rFonts w:ascii="Verdana" w:eastAsiaTheme="majorEastAsia" w:hAnsi="Verdana" w:cstheme="majorBidi"/>
          <w:spacing w:val="5"/>
          <w:kern w:val="28"/>
        </w:rPr>
        <w:t>especulación sobre</w:t>
      </w:r>
      <w:r>
        <w:rPr>
          <w:rFonts w:ascii="Verdana" w:eastAsiaTheme="majorEastAsia" w:hAnsi="Verdana" w:cstheme="majorBidi"/>
          <w:spacing w:val="5"/>
          <w:kern w:val="28"/>
        </w:rPr>
        <w:t xml:space="preserve"> un bien básico, como es</w:t>
      </w:r>
      <w:r w:rsidRPr="00CA36BA">
        <w:rPr>
          <w:rFonts w:ascii="Verdana" w:eastAsiaTheme="majorEastAsia" w:hAnsi="Verdana" w:cstheme="majorBidi"/>
          <w:spacing w:val="5"/>
          <w:kern w:val="28"/>
        </w:rPr>
        <w:t xml:space="preserve"> la vivienda</w:t>
      </w:r>
      <w:r>
        <w:rPr>
          <w:rFonts w:ascii="Verdana" w:eastAsiaTheme="majorEastAsia" w:hAnsi="Verdana" w:cstheme="majorBidi"/>
          <w:spacing w:val="5"/>
          <w:kern w:val="28"/>
        </w:rPr>
        <w:t>,</w:t>
      </w:r>
      <w:r w:rsidRPr="00CA36BA">
        <w:rPr>
          <w:rFonts w:ascii="Verdana" w:eastAsiaTheme="majorEastAsia" w:hAnsi="Verdana" w:cstheme="majorBidi"/>
          <w:spacing w:val="5"/>
          <w:kern w:val="28"/>
        </w:rPr>
        <w:t xml:space="preserve"> </w:t>
      </w:r>
      <w:r w:rsidR="0033640D">
        <w:rPr>
          <w:rFonts w:ascii="Verdana" w:eastAsiaTheme="majorEastAsia" w:hAnsi="Verdana" w:cstheme="majorBidi"/>
          <w:spacing w:val="5"/>
          <w:kern w:val="28"/>
        </w:rPr>
        <w:t>provocando</w:t>
      </w:r>
      <w:r w:rsidRPr="00CA36BA">
        <w:rPr>
          <w:rFonts w:ascii="Verdana" w:eastAsiaTheme="majorEastAsia" w:hAnsi="Verdana" w:cstheme="majorBidi"/>
          <w:spacing w:val="5"/>
          <w:kern w:val="28"/>
        </w:rPr>
        <w:t xml:space="preserve"> una burbuja inmobiliaria en nuestro país</w:t>
      </w:r>
      <w:r w:rsidR="0033640D">
        <w:rPr>
          <w:rFonts w:ascii="Verdana" w:eastAsiaTheme="majorEastAsia" w:hAnsi="Verdana" w:cstheme="majorBidi"/>
          <w:spacing w:val="5"/>
          <w:kern w:val="28"/>
        </w:rPr>
        <w:t>,</w:t>
      </w:r>
      <w:r w:rsidRPr="00CA36BA">
        <w:rPr>
          <w:rFonts w:ascii="Verdana" w:eastAsiaTheme="majorEastAsia" w:hAnsi="Verdana" w:cstheme="majorBidi"/>
          <w:spacing w:val="5"/>
          <w:kern w:val="28"/>
        </w:rPr>
        <w:t xml:space="preserve"> </w:t>
      </w:r>
      <w:r w:rsidR="0033640D">
        <w:rPr>
          <w:rFonts w:ascii="Verdana" w:eastAsiaTheme="majorEastAsia" w:hAnsi="Verdana" w:cstheme="majorBidi"/>
          <w:spacing w:val="5"/>
          <w:kern w:val="28"/>
        </w:rPr>
        <w:t xml:space="preserve">cuyos efectos de su estallido son </w:t>
      </w:r>
      <w:r w:rsidRPr="00CA36BA">
        <w:rPr>
          <w:rFonts w:ascii="Verdana" w:eastAsiaTheme="majorEastAsia" w:hAnsi="Verdana" w:cstheme="majorBidi"/>
          <w:spacing w:val="5"/>
          <w:kern w:val="28"/>
        </w:rPr>
        <w:t xml:space="preserve">de sobra </w:t>
      </w:r>
      <w:r w:rsidR="0033640D" w:rsidRPr="00CA36BA">
        <w:rPr>
          <w:rFonts w:ascii="Verdana" w:eastAsiaTheme="majorEastAsia" w:hAnsi="Verdana" w:cstheme="majorBidi"/>
          <w:spacing w:val="5"/>
          <w:kern w:val="28"/>
        </w:rPr>
        <w:t>conocidos</w:t>
      </w:r>
      <w:r w:rsidRPr="00CA36BA">
        <w:rPr>
          <w:rFonts w:ascii="Verdana" w:eastAsiaTheme="majorEastAsia" w:hAnsi="Verdana" w:cstheme="majorBidi"/>
          <w:spacing w:val="5"/>
          <w:kern w:val="28"/>
        </w:rPr>
        <w:t xml:space="preserve"> y de </w:t>
      </w:r>
      <w:r w:rsidR="0033640D">
        <w:rPr>
          <w:rFonts w:ascii="Verdana" w:eastAsiaTheme="majorEastAsia" w:hAnsi="Verdana" w:cstheme="majorBidi"/>
          <w:spacing w:val="5"/>
          <w:kern w:val="28"/>
        </w:rPr>
        <w:t xml:space="preserve">los que a día de hoy </w:t>
      </w:r>
      <w:r w:rsidR="00C44DA2">
        <w:rPr>
          <w:rFonts w:ascii="Verdana" w:eastAsiaTheme="majorEastAsia" w:hAnsi="Verdana" w:cstheme="majorBidi"/>
          <w:spacing w:val="5"/>
          <w:kern w:val="28"/>
        </w:rPr>
        <w:t>continuamos pagando sus consecuencias</w:t>
      </w:r>
      <w:r w:rsidRPr="00CA36BA">
        <w:rPr>
          <w:rFonts w:ascii="Verdana" w:eastAsiaTheme="majorEastAsia" w:hAnsi="Verdana" w:cstheme="majorBidi"/>
          <w:spacing w:val="5"/>
          <w:kern w:val="28"/>
        </w:rPr>
        <w:t xml:space="preserve">. </w:t>
      </w:r>
    </w:p>
    <w:p w:rsidR="00AD2E2E" w:rsidRDefault="00CA36BA" w:rsidP="00542BD2">
      <w:pPr>
        <w:spacing w:line="360" w:lineRule="auto"/>
        <w:jc w:val="both"/>
        <w:rPr>
          <w:rFonts w:ascii="Verdana" w:eastAsiaTheme="majorEastAsia" w:hAnsi="Verdana" w:cstheme="majorBidi"/>
          <w:spacing w:val="5"/>
          <w:kern w:val="28"/>
        </w:rPr>
      </w:pPr>
      <w:r w:rsidRPr="00CA36BA">
        <w:rPr>
          <w:rFonts w:ascii="Verdana" w:eastAsiaTheme="majorEastAsia" w:hAnsi="Verdana" w:cstheme="majorBidi"/>
          <w:spacing w:val="5"/>
          <w:kern w:val="28"/>
        </w:rPr>
        <w:t>Los elevados precios de un bien como la vivienda</w:t>
      </w:r>
      <w:r w:rsidR="0032283C">
        <w:rPr>
          <w:rFonts w:ascii="Verdana" w:eastAsiaTheme="majorEastAsia" w:hAnsi="Verdana" w:cstheme="majorBidi"/>
          <w:spacing w:val="5"/>
          <w:kern w:val="28"/>
        </w:rPr>
        <w:t>,</w:t>
      </w:r>
      <w:r w:rsidRPr="00CA36BA">
        <w:rPr>
          <w:rFonts w:ascii="Verdana" w:eastAsiaTheme="majorEastAsia" w:hAnsi="Verdana" w:cstheme="majorBidi"/>
          <w:spacing w:val="5"/>
          <w:kern w:val="28"/>
        </w:rPr>
        <w:t xml:space="preserve"> </w:t>
      </w:r>
      <w:r w:rsidR="00237975">
        <w:rPr>
          <w:rFonts w:ascii="Verdana" w:eastAsiaTheme="majorEastAsia" w:hAnsi="Verdana" w:cstheme="majorBidi"/>
          <w:spacing w:val="5"/>
          <w:kern w:val="28"/>
        </w:rPr>
        <w:t>provocados por la burbuja</w:t>
      </w:r>
      <w:r w:rsidR="0032283C">
        <w:rPr>
          <w:rFonts w:ascii="Verdana" w:eastAsiaTheme="majorEastAsia" w:hAnsi="Verdana" w:cstheme="majorBidi"/>
          <w:spacing w:val="5"/>
          <w:kern w:val="28"/>
        </w:rPr>
        <w:t>,</w:t>
      </w:r>
      <w:r w:rsidR="00237975">
        <w:rPr>
          <w:rFonts w:ascii="Verdana" w:eastAsiaTheme="majorEastAsia" w:hAnsi="Verdana" w:cstheme="majorBidi"/>
          <w:spacing w:val="5"/>
          <w:kern w:val="28"/>
        </w:rPr>
        <w:t xml:space="preserve"> trajeron como consecuencia que a día de </w:t>
      </w:r>
      <w:r w:rsidRPr="00CA36BA">
        <w:rPr>
          <w:rFonts w:ascii="Verdana" w:eastAsiaTheme="majorEastAsia" w:hAnsi="Verdana" w:cstheme="majorBidi"/>
          <w:spacing w:val="5"/>
          <w:kern w:val="28"/>
        </w:rPr>
        <w:t xml:space="preserve">hoy </w:t>
      </w:r>
      <w:r w:rsidR="00237975">
        <w:rPr>
          <w:rFonts w:ascii="Verdana" w:eastAsiaTheme="majorEastAsia" w:hAnsi="Verdana" w:cstheme="majorBidi"/>
          <w:spacing w:val="5"/>
          <w:kern w:val="28"/>
        </w:rPr>
        <w:t>mucha</w:t>
      </w:r>
      <w:r w:rsidRPr="00CA36BA">
        <w:rPr>
          <w:rFonts w:ascii="Verdana" w:eastAsiaTheme="majorEastAsia" w:hAnsi="Verdana" w:cstheme="majorBidi"/>
          <w:spacing w:val="5"/>
          <w:kern w:val="28"/>
        </w:rPr>
        <w:t xml:space="preserve">s familias estén pagando elevadas hipotecas por activos sobrevalorados y </w:t>
      </w:r>
      <w:r w:rsidR="0032283C">
        <w:rPr>
          <w:rFonts w:ascii="Verdana" w:eastAsiaTheme="majorEastAsia" w:hAnsi="Verdana" w:cstheme="majorBidi"/>
          <w:spacing w:val="5"/>
          <w:kern w:val="28"/>
        </w:rPr>
        <w:t>que</w:t>
      </w:r>
      <w:r w:rsidRPr="00CA36BA">
        <w:rPr>
          <w:rFonts w:ascii="Verdana" w:eastAsiaTheme="majorEastAsia" w:hAnsi="Verdana" w:cstheme="majorBidi"/>
          <w:spacing w:val="5"/>
          <w:kern w:val="28"/>
        </w:rPr>
        <w:t xml:space="preserve"> </w:t>
      </w:r>
      <w:r w:rsidR="0083772D">
        <w:rPr>
          <w:rFonts w:ascii="Verdana" w:eastAsiaTheme="majorEastAsia" w:hAnsi="Verdana" w:cstheme="majorBidi"/>
          <w:spacing w:val="5"/>
          <w:kern w:val="28"/>
        </w:rPr>
        <w:t xml:space="preserve">tengan que destinar una elevada proporción de </w:t>
      </w:r>
      <w:r w:rsidR="00CC5008">
        <w:rPr>
          <w:rFonts w:ascii="Verdana" w:eastAsiaTheme="majorEastAsia" w:hAnsi="Verdana" w:cstheme="majorBidi"/>
          <w:spacing w:val="5"/>
          <w:kern w:val="28"/>
        </w:rPr>
        <w:t>sus ingresos. L</w:t>
      </w:r>
      <w:r w:rsidRPr="00CA36BA">
        <w:rPr>
          <w:rFonts w:ascii="Verdana" w:eastAsiaTheme="majorEastAsia" w:hAnsi="Verdana" w:cstheme="majorBidi"/>
          <w:spacing w:val="5"/>
          <w:kern w:val="28"/>
        </w:rPr>
        <w:t>a situación es aún peor para otros que han sido víctimas de de ejecuciones hipotecarias y desahucios</w:t>
      </w:r>
      <w:r w:rsidR="00CC5008">
        <w:rPr>
          <w:rFonts w:ascii="Verdana" w:eastAsiaTheme="majorEastAsia" w:hAnsi="Verdana" w:cstheme="majorBidi"/>
          <w:spacing w:val="5"/>
          <w:kern w:val="28"/>
        </w:rPr>
        <w:t>,</w:t>
      </w:r>
      <w:r w:rsidRPr="00CA36BA">
        <w:rPr>
          <w:rFonts w:ascii="Verdana" w:eastAsiaTheme="majorEastAsia" w:hAnsi="Verdana" w:cstheme="majorBidi"/>
          <w:spacing w:val="5"/>
          <w:kern w:val="28"/>
        </w:rPr>
        <w:t xml:space="preserve"> </w:t>
      </w:r>
      <w:r w:rsidR="00CC5008">
        <w:rPr>
          <w:rFonts w:ascii="Verdana" w:eastAsiaTheme="majorEastAsia" w:hAnsi="Verdana" w:cstheme="majorBidi"/>
          <w:spacing w:val="5"/>
          <w:kern w:val="28"/>
        </w:rPr>
        <w:t>perdiendo</w:t>
      </w:r>
      <w:r w:rsidRPr="00CA36BA">
        <w:rPr>
          <w:rFonts w:ascii="Verdana" w:eastAsiaTheme="majorEastAsia" w:hAnsi="Verdana" w:cstheme="majorBidi"/>
          <w:spacing w:val="5"/>
          <w:kern w:val="28"/>
        </w:rPr>
        <w:t xml:space="preserve"> con ello su vivienda, no así de la deuda.</w:t>
      </w:r>
    </w:p>
    <w:p w:rsidR="0083772D" w:rsidRDefault="0083772D" w:rsidP="00542BD2">
      <w:pPr>
        <w:spacing w:line="360" w:lineRule="auto"/>
        <w:jc w:val="both"/>
        <w:rPr>
          <w:rFonts w:ascii="Verdana" w:eastAsiaTheme="majorEastAsia" w:hAnsi="Verdana" w:cstheme="majorBidi"/>
          <w:spacing w:val="5"/>
          <w:kern w:val="28"/>
        </w:rPr>
      </w:pPr>
    </w:p>
    <w:p w:rsidR="0083772D" w:rsidRDefault="0083772D" w:rsidP="00542BD2">
      <w:pPr>
        <w:spacing w:line="360" w:lineRule="auto"/>
        <w:jc w:val="both"/>
        <w:rPr>
          <w:rFonts w:ascii="Verdana" w:eastAsiaTheme="majorEastAsia" w:hAnsi="Verdana" w:cstheme="majorBidi"/>
          <w:spacing w:val="5"/>
          <w:kern w:val="28"/>
        </w:rPr>
      </w:pPr>
    </w:p>
    <w:p w:rsidR="0083772D" w:rsidRDefault="0083772D" w:rsidP="00542BD2">
      <w:pPr>
        <w:spacing w:line="360" w:lineRule="auto"/>
        <w:jc w:val="both"/>
        <w:rPr>
          <w:rFonts w:ascii="Verdana" w:eastAsiaTheme="majorEastAsia" w:hAnsi="Verdana" w:cstheme="majorBidi"/>
          <w:spacing w:val="5"/>
          <w:kern w:val="28"/>
        </w:rPr>
      </w:pPr>
    </w:p>
    <w:p w:rsidR="00CA36BA" w:rsidRDefault="0083772D" w:rsidP="00542BD2">
      <w:pPr>
        <w:spacing w:line="360" w:lineRule="auto"/>
        <w:jc w:val="both"/>
        <w:rPr>
          <w:rFonts w:ascii="Verdana" w:eastAsiaTheme="majorEastAsia" w:hAnsi="Verdana" w:cstheme="majorBidi"/>
          <w:spacing w:val="5"/>
          <w:kern w:val="28"/>
        </w:rPr>
      </w:pPr>
      <w:r>
        <w:rPr>
          <w:rFonts w:ascii="Verdana" w:eastAsiaTheme="majorEastAsia" w:hAnsi="Verdana" w:cstheme="majorBidi"/>
          <w:spacing w:val="5"/>
          <w:kern w:val="28"/>
        </w:rPr>
        <w:t>Desde la UGT, venimos alertando e</w:t>
      </w:r>
      <w:r w:rsidR="00C419F7">
        <w:rPr>
          <w:rFonts w:ascii="Verdana" w:eastAsiaTheme="majorEastAsia" w:hAnsi="Verdana" w:cstheme="majorBidi"/>
          <w:spacing w:val="5"/>
          <w:kern w:val="28"/>
        </w:rPr>
        <w:t xml:space="preserve">n los últimos años </w:t>
      </w:r>
      <w:r>
        <w:rPr>
          <w:rFonts w:ascii="Verdana" w:eastAsiaTheme="majorEastAsia" w:hAnsi="Verdana" w:cstheme="majorBidi"/>
          <w:spacing w:val="5"/>
          <w:kern w:val="28"/>
        </w:rPr>
        <w:t>de</w:t>
      </w:r>
      <w:r w:rsidR="00C419F7">
        <w:rPr>
          <w:rFonts w:ascii="Verdana" w:eastAsiaTheme="majorEastAsia" w:hAnsi="Verdana" w:cstheme="majorBidi"/>
          <w:spacing w:val="5"/>
          <w:kern w:val="28"/>
        </w:rPr>
        <w:t xml:space="preserve"> un </w:t>
      </w:r>
      <w:r w:rsidR="00C419F7" w:rsidRPr="00AD2843">
        <w:rPr>
          <w:rFonts w:ascii="Verdana" w:eastAsiaTheme="majorEastAsia" w:hAnsi="Verdana" w:cstheme="majorBidi"/>
          <w:b/>
          <w:color w:val="7030A0"/>
          <w:spacing w:val="5"/>
          <w:kern w:val="28"/>
        </w:rPr>
        <w:t>crecimiento exponencial e</w:t>
      </w:r>
      <w:r w:rsidR="00C44DA2" w:rsidRPr="00AD2843">
        <w:rPr>
          <w:rFonts w:ascii="Verdana" w:eastAsiaTheme="majorEastAsia" w:hAnsi="Verdana" w:cstheme="majorBidi"/>
          <w:b/>
          <w:color w:val="7030A0"/>
          <w:spacing w:val="5"/>
          <w:kern w:val="28"/>
        </w:rPr>
        <w:t>n los precios de los alquileres</w:t>
      </w:r>
      <w:r w:rsidR="00C44DA2">
        <w:rPr>
          <w:rFonts w:ascii="Verdana" w:eastAsiaTheme="majorEastAsia" w:hAnsi="Verdana" w:cstheme="majorBidi"/>
          <w:spacing w:val="5"/>
          <w:kern w:val="28"/>
        </w:rPr>
        <w:t xml:space="preserve">. Lo que dificulta </w:t>
      </w:r>
      <w:r>
        <w:rPr>
          <w:rFonts w:ascii="Verdana" w:eastAsiaTheme="majorEastAsia" w:hAnsi="Verdana" w:cstheme="majorBidi"/>
          <w:spacing w:val="5"/>
          <w:kern w:val="28"/>
        </w:rPr>
        <w:t>a mucha</w:t>
      </w:r>
      <w:r w:rsidR="00C44DA2">
        <w:rPr>
          <w:rFonts w:ascii="Verdana" w:eastAsiaTheme="majorEastAsia" w:hAnsi="Verdana" w:cstheme="majorBidi"/>
          <w:spacing w:val="5"/>
          <w:kern w:val="28"/>
        </w:rPr>
        <w:t xml:space="preserve">s </w:t>
      </w:r>
      <w:r>
        <w:rPr>
          <w:rFonts w:ascii="Verdana" w:eastAsiaTheme="majorEastAsia" w:hAnsi="Verdana" w:cstheme="majorBidi"/>
          <w:spacing w:val="5"/>
          <w:kern w:val="28"/>
        </w:rPr>
        <w:t>el acceso</w:t>
      </w:r>
      <w:r w:rsidR="00C44DA2">
        <w:rPr>
          <w:rFonts w:ascii="Verdana" w:eastAsiaTheme="majorEastAsia" w:hAnsi="Verdana" w:cstheme="majorBidi"/>
          <w:spacing w:val="5"/>
          <w:kern w:val="28"/>
        </w:rPr>
        <w:t xml:space="preserve"> a una vivienda, dados los bajos salarios que existen en nuestro país, además supone una</w:t>
      </w:r>
      <w:r w:rsidR="00C419F7">
        <w:rPr>
          <w:rFonts w:ascii="Verdana" w:eastAsiaTheme="majorEastAsia" w:hAnsi="Verdana" w:cstheme="majorBidi"/>
          <w:spacing w:val="5"/>
          <w:kern w:val="28"/>
        </w:rPr>
        <w:t xml:space="preserve"> barrera a los jóvenes que ven </w:t>
      </w:r>
      <w:r w:rsidR="00C419F7">
        <w:rPr>
          <w:rFonts w:ascii="Verdana" w:eastAsiaTheme="majorEastAsia" w:hAnsi="Verdana" w:cstheme="majorBidi"/>
          <w:spacing w:val="5"/>
          <w:kern w:val="28"/>
        </w:rPr>
        <w:lastRenderedPageBreak/>
        <w:t>truncadas sus expectativas de emancipación y con ello su proyecto de vida.</w:t>
      </w:r>
    </w:p>
    <w:p w:rsidR="00C44DA2" w:rsidRDefault="00C44DA2" w:rsidP="00542BD2">
      <w:pPr>
        <w:spacing w:line="360" w:lineRule="auto"/>
        <w:jc w:val="both"/>
        <w:rPr>
          <w:rFonts w:ascii="Verdana" w:eastAsiaTheme="majorEastAsia" w:hAnsi="Verdana" w:cstheme="majorBidi"/>
          <w:spacing w:val="5"/>
          <w:kern w:val="28"/>
        </w:rPr>
      </w:pPr>
      <w:r>
        <w:rPr>
          <w:rFonts w:ascii="Verdana" w:eastAsiaTheme="majorEastAsia" w:hAnsi="Verdana" w:cstheme="majorBidi"/>
          <w:spacing w:val="5"/>
          <w:kern w:val="28"/>
        </w:rPr>
        <w:t xml:space="preserve">Los cada vez </w:t>
      </w:r>
      <w:r w:rsidRPr="00AD2843">
        <w:rPr>
          <w:rFonts w:ascii="Verdana" w:eastAsiaTheme="majorEastAsia" w:hAnsi="Verdana" w:cstheme="majorBidi"/>
          <w:b/>
          <w:color w:val="7030A0"/>
          <w:spacing w:val="5"/>
          <w:kern w:val="28"/>
        </w:rPr>
        <w:t>menores salarios</w:t>
      </w:r>
      <w:r>
        <w:rPr>
          <w:rFonts w:ascii="Verdana" w:eastAsiaTheme="majorEastAsia" w:hAnsi="Verdana" w:cstheme="majorBidi"/>
          <w:spacing w:val="5"/>
          <w:kern w:val="28"/>
        </w:rPr>
        <w:t xml:space="preserve"> y los </w:t>
      </w:r>
      <w:r w:rsidRPr="00AD2843">
        <w:rPr>
          <w:rFonts w:ascii="Verdana" w:eastAsiaTheme="majorEastAsia" w:hAnsi="Verdana" w:cstheme="majorBidi"/>
          <w:b/>
          <w:color w:val="7030A0"/>
          <w:spacing w:val="5"/>
          <w:kern w:val="28"/>
        </w:rPr>
        <w:t>elevados precios de la vivienda</w:t>
      </w:r>
      <w:r>
        <w:rPr>
          <w:rFonts w:ascii="Verdana" w:eastAsiaTheme="majorEastAsia" w:hAnsi="Verdana" w:cstheme="majorBidi"/>
          <w:spacing w:val="5"/>
          <w:kern w:val="28"/>
        </w:rPr>
        <w:t xml:space="preserve"> </w:t>
      </w:r>
      <w:r w:rsidR="0083772D">
        <w:rPr>
          <w:rFonts w:ascii="Verdana" w:eastAsiaTheme="majorEastAsia" w:hAnsi="Verdana" w:cstheme="majorBidi"/>
          <w:spacing w:val="5"/>
          <w:kern w:val="28"/>
        </w:rPr>
        <w:t>provocan</w:t>
      </w:r>
      <w:r>
        <w:rPr>
          <w:rFonts w:ascii="Verdana" w:eastAsiaTheme="majorEastAsia" w:hAnsi="Verdana" w:cstheme="majorBidi"/>
          <w:spacing w:val="5"/>
          <w:kern w:val="28"/>
        </w:rPr>
        <w:t xml:space="preserve"> que las familias tengan que hacer un </w:t>
      </w:r>
      <w:r w:rsidRPr="00AD2843">
        <w:rPr>
          <w:rFonts w:ascii="Verdana" w:eastAsiaTheme="majorEastAsia" w:hAnsi="Verdana" w:cstheme="majorBidi"/>
          <w:b/>
          <w:color w:val="7030A0"/>
          <w:spacing w:val="5"/>
          <w:kern w:val="28"/>
        </w:rPr>
        <w:t>mayor esfuerzo para afrontar los gastos de la vivienda</w:t>
      </w:r>
      <w:r w:rsidR="00AB0A76">
        <w:rPr>
          <w:rFonts w:ascii="Verdana" w:eastAsiaTheme="majorEastAsia" w:hAnsi="Verdana" w:cstheme="majorBidi"/>
          <w:spacing w:val="5"/>
          <w:kern w:val="28"/>
        </w:rPr>
        <w:t xml:space="preserve">. </w:t>
      </w:r>
    </w:p>
    <w:p w:rsidR="00E17FA6" w:rsidRDefault="00E17FA6" w:rsidP="00542BD2">
      <w:pPr>
        <w:spacing w:line="360" w:lineRule="auto"/>
        <w:jc w:val="both"/>
        <w:rPr>
          <w:rFonts w:ascii="Verdana" w:eastAsiaTheme="majorEastAsia" w:hAnsi="Verdana" w:cstheme="majorBidi"/>
          <w:spacing w:val="5"/>
          <w:kern w:val="28"/>
        </w:rPr>
      </w:pPr>
      <w:r>
        <w:rPr>
          <w:rFonts w:ascii="Verdana" w:eastAsiaTheme="majorEastAsia" w:hAnsi="Verdana" w:cstheme="majorBidi"/>
          <w:spacing w:val="5"/>
          <w:kern w:val="28"/>
        </w:rPr>
        <w:t xml:space="preserve">A partir del mes de junio del presente año, estamos sufriendo un </w:t>
      </w:r>
      <w:r w:rsidRPr="00AD2843">
        <w:rPr>
          <w:rFonts w:ascii="Verdana" w:eastAsiaTheme="majorEastAsia" w:hAnsi="Verdana" w:cstheme="majorBidi"/>
          <w:b/>
          <w:color w:val="7030A0"/>
          <w:spacing w:val="5"/>
          <w:kern w:val="28"/>
        </w:rPr>
        <w:t xml:space="preserve">aumento histórico de </w:t>
      </w:r>
      <w:r w:rsidR="00AD2843" w:rsidRPr="00AD2843">
        <w:rPr>
          <w:rFonts w:ascii="Verdana" w:eastAsiaTheme="majorEastAsia" w:hAnsi="Verdana" w:cstheme="majorBidi"/>
          <w:b/>
          <w:color w:val="7030A0"/>
          <w:spacing w:val="5"/>
          <w:kern w:val="28"/>
        </w:rPr>
        <w:t xml:space="preserve">los precios de </w:t>
      </w:r>
      <w:proofErr w:type="gramStart"/>
      <w:r w:rsidR="00AD2843" w:rsidRPr="00AD2843">
        <w:rPr>
          <w:rFonts w:ascii="Verdana" w:eastAsiaTheme="majorEastAsia" w:hAnsi="Verdana" w:cstheme="majorBidi"/>
          <w:b/>
          <w:color w:val="7030A0"/>
          <w:spacing w:val="5"/>
          <w:kern w:val="28"/>
        </w:rPr>
        <w:t>un</w:t>
      </w:r>
      <w:proofErr w:type="gramEnd"/>
      <w:r w:rsidR="00AD2843" w:rsidRPr="00AD2843">
        <w:rPr>
          <w:rFonts w:ascii="Verdana" w:eastAsiaTheme="majorEastAsia" w:hAnsi="Verdana" w:cstheme="majorBidi"/>
          <w:b/>
          <w:color w:val="7030A0"/>
          <w:spacing w:val="5"/>
          <w:kern w:val="28"/>
        </w:rPr>
        <w:t xml:space="preserve"> bien</w:t>
      </w:r>
      <w:r w:rsidRPr="00AD2843">
        <w:rPr>
          <w:rFonts w:ascii="Verdana" w:eastAsiaTheme="majorEastAsia" w:hAnsi="Verdana" w:cstheme="majorBidi"/>
          <w:b/>
          <w:color w:val="7030A0"/>
          <w:spacing w:val="5"/>
          <w:kern w:val="28"/>
        </w:rPr>
        <w:t xml:space="preserve"> de primera necesidad</w:t>
      </w:r>
      <w:r>
        <w:rPr>
          <w:rFonts w:ascii="Verdana" w:eastAsiaTheme="majorEastAsia" w:hAnsi="Verdana" w:cstheme="majorBidi"/>
          <w:spacing w:val="5"/>
          <w:kern w:val="28"/>
        </w:rPr>
        <w:t xml:space="preserve">, como </w:t>
      </w:r>
      <w:r w:rsidR="00AD2843">
        <w:rPr>
          <w:rFonts w:ascii="Verdana" w:eastAsiaTheme="majorEastAsia" w:hAnsi="Verdana" w:cstheme="majorBidi"/>
          <w:spacing w:val="5"/>
          <w:kern w:val="28"/>
        </w:rPr>
        <w:t xml:space="preserve">es la </w:t>
      </w:r>
      <w:r w:rsidR="00AD2843" w:rsidRPr="00AD2843">
        <w:rPr>
          <w:rFonts w:ascii="Verdana" w:eastAsiaTheme="majorEastAsia" w:hAnsi="Verdana" w:cstheme="majorBidi"/>
          <w:b/>
          <w:color w:val="7030A0"/>
          <w:spacing w:val="5"/>
          <w:kern w:val="28"/>
        </w:rPr>
        <w:t>energía eléctrica</w:t>
      </w:r>
      <w:r>
        <w:rPr>
          <w:rFonts w:ascii="Verdana" w:eastAsiaTheme="majorEastAsia" w:hAnsi="Verdana" w:cstheme="majorBidi"/>
          <w:spacing w:val="5"/>
          <w:kern w:val="28"/>
        </w:rPr>
        <w:t>.</w:t>
      </w:r>
      <w:r w:rsidR="00AD2843">
        <w:rPr>
          <w:rFonts w:ascii="Verdana" w:eastAsiaTheme="majorEastAsia" w:hAnsi="Verdana" w:cstheme="majorBidi"/>
          <w:spacing w:val="5"/>
          <w:kern w:val="28"/>
        </w:rPr>
        <w:t xml:space="preserve"> Lo que nuevamente supone un perjuicio para los colectivos más vulnerables, siendo los beneficiarios los bolsillos de las eléctricas.</w:t>
      </w:r>
    </w:p>
    <w:p w:rsidR="00AD2E2E" w:rsidRDefault="00AD2E2E" w:rsidP="00542BD2">
      <w:pPr>
        <w:spacing w:line="360" w:lineRule="auto"/>
        <w:jc w:val="both"/>
        <w:rPr>
          <w:rFonts w:ascii="Verdana" w:eastAsiaTheme="majorEastAsia" w:hAnsi="Verdana" w:cstheme="majorBidi"/>
          <w:spacing w:val="5"/>
          <w:kern w:val="28"/>
        </w:rPr>
      </w:pPr>
    </w:p>
    <w:p w:rsidR="00CA36BA" w:rsidRPr="005B3148" w:rsidRDefault="00E17FA6" w:rsidP="00F931FB">
      <w:pPr>
        <w:pBdr>
          <w:top w:val="single" w:sz="12" w:space="1" w:color="7030A0"/>
          <w:left w:val="single" w:sz="12" w:space="4" w:color="7030A0"/>
          <w:bottom w:val="single" w:sz="12" w:space="1" w:color="7030A0"/>
          <w:right w:val="single" w:sz="12" w:space="4" w:color="7030A0"/>
        </w:pBdr>
        <w:spacing w:line="360" w:lineRule="auto"/>
        <w:jc w:val="both"/>
        <w:rPr>
          <w:rFonts w:ascii="Verdana" w:eastAsiaTheme="majorEastAsia" w:hAnsi="Verdana" w:cstheme="majorBidi"/>
          <w:i/>
          <w:color w:val="7030A0"/>
          <w:spacing w:val="5"/>
          <w:kern w:val="28"/>
        </w:rPr>
      </w:pPr>
      <w:r>
        <w:rPr>
          <w:rFonts w:ascii="Verdana" w:eastAsiaTheme="majorEastAsia" w:hAnsi="Verdana" w:cstheme="majorBidi"/>
          <w:i/>
          <w:color w:val="7030A0"/>
          <w:spacing w:val="5"/>
          <w:kern w:val="28"/>
        </w:rPr>
        <w:t>El difícil acceso a la vivienda</w:t>
      </w:r>
      <w:r w:rsidR="00CA36BA" w:rsidRPr="005B3148">
        <w:rPr>
          <w:rFonts w:ascii="Verdana" w:eastAsiaTheme="majorEastAsia" w:hAnsi="Verdana" w:cstheme="majorBidi"/>
          <w:i/>
          <w:color w:val="7030A0"/>
          <w:spacing w:val="5"/>
          <w:kern w:val="28"/>
        </w:rPr>
        <w:t xml:space="preserve"> exige dar un giro a la política de vivienda y que sea considerada como un </w:t>
      </w:r>
      <w:r w:rsidR="00C44DA2" w:rsidRPr="005B3148">
        <w:rPr>
          <w:rFonts w:ascii="Verdana" w:eastAsiaTheme="majorEastAsia" w:hAnsi="Verdana" w:cstheme="majorBidi"/>
          <w:i/>
          <w:color w:val="7030A0"/>
          <w:spacing w:val="5"/>
          <w:kern w:val="28"/>
        </w:rPr>
        <w:t xml:space="preserve">bien esencial. </w:t>
      </w:r>
      <w:r>
        <w:rPr>
          <w:rFonts w:ascii="Verdana" w:eastAsiaTheme="majorEastAsia" w:hAnsi="Verdana" w:cstheme="majorBidi"/>
          <w:i/>
          <w:color w:val="7030A0"/>
          <w:spacing w:val="5"/>
          <w:kern w:val="28"/>
        </w:rPr>
        <w:t>Además debe dejar de ser considerada como un bien de inversión</w:t>
      </w:r>
    </w:p>
    <w:p w:rsidR="00C44DA2" w:rsidRPr="005B3148" w:rsidRDefault="00C44DA2" w:rsidP="00F931FB">
      <w:pPr>
        <w:pBdr>
          <w:top w:val="single" w:sz="12" w:space="1" w:color="7030A0"/>
          <w:left w:val="single" w:sz="12" w:space="4" w:color="7030A0"/>
          <w:bottom w:val="single" w:sz="12" w:space="1" w:color="7030A0"/>
          <w:right w:val="single" w:sz="12" w:space="4" w:color="7030A0"/>
        </w:pBdr>
        <w:spacing w:line="360" w:lineRule="auto"/>
        <w:jc w:val="both"/>
        <w:rPr>
          <w:rFonts w:ascii="Verdana" w:eastAsiaTheme="majorEastAsia" w:hAnsi="Verdana" w:cstheme="majorBidi"/>
          <w:i/>
          <w:color w:val="7030A0"/>
          <w:spacing w:val="5"/>
          <w:kern w:val="28"/>
        </w:rPr>
      </w:pPr>
      <w:r w:rsidRPr="005B3148">
        <w:rPr>
          <w:rFonts w:ascii="Verdana" w:eastAsiaTheme="majorEastAsia" w:hAnsi="Verdana" w:cstheme="majorBidi"/>
          <w:i/>
          <w:color w:val="7030A0"/>
          <w:spacing w:val="5"/>
          <w:kern w:val="28"/>
        </w:rPr>
        <w:t>Hay que potenciar la construcción de</w:t>
      </w:r>
      <w:r w:rsidR="00AB0A76" w:rsidRPr="005B3148">
        <w:rPr>
          <w:rFonts w:ascii="Verdana" w:eastAsiaTheme="majorEastAsia" w:hAnsi="Verdana" w:cstheme="majorBidi"/>
          <w:i/>
          <w:color w:val="7030A0"/>
          <w:spacing w:val="5"/>
          <w:kern w:val="28"/>
        </w:rPr>
        <w:t xml:space="preserve"> </w:t>
      </w:r>
      <w:r w:rsidR="00F931FB">
        <w:rPr>
          <w:rFonts w:ascii="Verdana" w:eastAsiaTheme="majorEastAsia" w:hAnsi="Verdana" w:cstheme="majorBidi"/>
          <w:i/>
          <w:color w:val="7030A0"/>
          <w:spacing w:val="5"/>
          <w:kern w:val="28"/>
        </w:rPr>
        <w:t>un parque público de viviendas fundamentalmente para alquiler social</w:t>
      </w:r>
    </w:p>
    <w:p w:rsidR="00AB0A76" w:rsidRDefault="00AD2843" w:rsidP="00F931FB">
      <w:pPr>
        <w:pBdr>
          <w:top w:val="single" w:sz="12" w:space="1" w:color="7030A0"/>
          <w:left w:val="single" w:sz="12" w:space="4" w:color="7030A0"/>
          <w:bottom w:val="single" w:sz="12" w:space="1" w:color="7030A0"/>
          <w:right w:val="single" w:sz="12" w:space="4" w:color="7030A0"/>
        </w:pBdr>
        <w:spacing w:line="360" w:lineRule="auto"/>
        <w:jc w:val="both"/>
        <w:rPr>
          <w:rFonts w:ascii="Verdana" w:eastAsiaTheme="majorEastAsia" w:hAnsi="Verdana" w:cstheme="majorBidi"/>
          <w:i/>
          <w:color w:val="7030A0"/>
          <w:spacing w:val="5"/>
          <w:kern w:val="28"/>
        </w:rPr>
      </w:pPr>
      <w:r>
        <w:rPr>
          <w:rFonts w:ascii="Verdana" w:eastAsiaTheme="majorEastAsia" w:hAnsi="Verdana" w:cstheme="majorBidi"/>
          <w:i/>
          <w:color w:val="7030A0"/>
          <w:spacing w:val="5"/>
          <w:kern w:val="28"/>
        </w:rPr>
        <w:t>Urge r</w:t>
      </w:r>
      <w:r w:rsidR="00AB0A76" w:rsidRPr="005B3148">
        <w:rPr>
          <w:rFonts w:ascii="Verdana" w:eastAsiaTheme="majorEastAsia" w:hAnsi="Verdana" w:cstheme="majorBidi"/>
          <w:i/>
          <w:color w:val="7030A0"/>
          <w:spacing w:val="5"/>
          <w:kern w:val="28"/>
        </w:rPr>
        <w:t xml:space="preserve">egular los precios del alquiler </w:t>
      </w:r>
    </w:p>
    <w:p w:rsidR="00AD2843" w:rsidRDefault="00AD2843" w:rsidP="00F931FB">
      <w:pPr>
        <w:pBdr>
          <w:top w:val="single" w:sz="12" w:space="1" w:color="7030A0"/>
          <w:left w:val="single" w:sz="12" w:space="4" w:color="7030A0"/>
          <w:bottom w:val="single" w:sz="12" w:space="1" w:color="7030A0"/>
          <w:right w:val="single" w:sz="12" w:space="4" w:color="7030A0"/>
        </w:pBdr>
        <w:spacing w:line="360" w:lineRule="auto"/>
        <w:jc w:val="both"/>
        <w:rPr>
          <w:rFonts w:ascii="Verdana" w:eastAsiaTheme="majorEastAsia" w:hAnsi="Verdana" w:cstheme="majorBidi"/>
          <w:i/>
          <w:color w:val="7030A0"/>
          <w:spacing w:val="5"/>
          <w:kern w:val="28"/>
        </w:rPr>
      </w:pPr>
      <w:r w:rsidRPr="00AD2843">
        <w:rPr>
          <w:rFonts w:ascii="Verdana" w:eastAsiaTheme="majorEastAsia" w:hAnsi="Verdana" w:cstheme="majorBidi"/>
          <w:i/>
          <w:color w:val="7030A0"/>
          <w:spacing w:val="5"/>
          <w:kern w:val="28"/>
        </w:rPr>
        <w:t>Implementar la Estrategia Nacional de Lucha contra la Pobreza Energética</w:t>
      </w:r>
    </w:p>
    <w:p w:rsidR="00AD2843" w:rsidRPr="005B3148" w:rsidRDefault="00AD2843" w:rsidP="00F931FB">
      <w:pPr>
        <w:pBdr>
          <w:top w:val="single" w:sz="12" w:space="1" w:color="7030A0"/>
          <w:left w:val="single" w:sz="12" w:space="4" w:color="7030A0"/>
          <w:bottom w:val="single" w:sz="12" w:space="1" w:color="7030A0"/>
          <w:right w:val="single" w:sz="12" w:space="4" w:color="7030A0"/>
        </w:pBdr>
        <w:spacing w:line="360" w:lineRule="auto"/>
        <w:jc w:val="both"/>
        <w:rPr>
          <w:rFonts w:ascii="Verdana" w:eastAsiaTheme="majorEastAsia" w:hAnsi="Verdana" w:cstheme="majorBidi"/>
          <w:i/>
          <w:color w:val="7030A0"/>
          <w:spacing w:val="5"/>
          <w:kern w:val="28"/>
        </w:rPr>
      </w:pPr>
      <w:r>
        <w:rPr>
          <w:rFonts w:ascii="Verdana" w:eastAsiaTheme="majorEastAsia" w:hAnsi="Verdana" w:cstheme="majorBidi"/>
          <w:i/>
          <w:color w:val="7030A0"/>
          <w:spacing w:val="5"/>
          <w:kern w:val="28"/>
        </w:rPr>
        <w:t>El Gobierno debe dar</w:t>
      </w:r>
      <w:r w:rsidRPr="00AD2843">
        <w:rPr>
          <w:rFonts w:ascii="Verdana" w:eastAsiaTheme="majorEastAsia" w:hAnsi="Verdana" w:cstheme="majorBidi"/>
          <w:i/>
          <w:color w:val="7030A0"/>
          <w:spacing w:val="5"/>
          <w:kern w:val="28"/>
        </w:rPr>
        <w:t xml:space="preserve"> carácter indefinido a las medidas contra la pobreza energética aprobadas durante la pandemia, como es la prohibición de los cortes de suministros de luz, agua y gas en los hogares más vulnerables</w:t>
      </w:r>
    </w:p>
    <w:p w:rsidR="00542BD2" w:rsidRDefault="00542BD2" w:rsidP="009E2ABA">
      <w:pPr>
        <w:jc w:val="both"/>
        <w:rPr>
          <w:rFonts w:asciiTheme="majorHAnsi" w:eastAsiaTheme="majorEastAsia" w:hAnsiTheme="majorHAnsi" w:cstheme="majorBidi"/>
          <w:color w:val="7030A0"/>
          <w:spacing w:val="5"/>
          <w:kern w:val="28"/>
          <w:sz w:val="52"/>
          <w:szCs w:val="52"/>
        </w:rPr>
      </w:pPr>
    </w:p>
    <w:p w:rsidR="00047008" w:rsidRDefault="00047008" w:rsidP="009E2ABA">
      <w:pPr>
        <w:jc w:val="both"/>
        <w:rPr>
          <w:rFonts w:asciiTheme="majorHAnsi" w:eastAsiaTheme="majorEastAsia" w:hAnsiTheme="majorHAnsi" w:cstheme="majorBidi"/>
          <w:color w:val="7030A0"/>
          <w:spacing w:val="5"/>
          <w:kern w:val="28"/>
          <w:sz w:val="52"/>
          <w:szCs w:val="52"/>
        </w:rPr>
      </w:pPr>
    </w:p>
    <w:p w:rsidR="002A262D" w:rsidRPr="0002338C" w:rsidRDefault="004D17CB" w:rsidP="0002338C">
      <w:pPr>
        <w:pStyle w:val="Prrafodelista"/>
        <w:numPr>
          <w:ilvl w:val="0"/>
          <w:numId w:val="11"/>
        </w:numPr>
        <w:pBdr>
          <w:bottom w:val="single" w:sz="8" w:space="1" w:color="7030A0"/>
        </w:pBdr>
        <w:jc w:val="both"/>
        <w:rPr>
          <w:rFonts w:asciiTheme="majorHAnsi" w:eastAsiaTheme="majorEastAsia" w:hAnsiTheme="majorHAnsi" w:cstheme="majorBidi"/>
          <w:color w:val="7030A0"/>
          <w:spacing w:val="5"/>
          <w:kern w:val="28"/>
          <w:sz w:val="52"/>
          <w:szCs w:val="52"/>
        </w:rPr>
      </w:pPr>
      <w:r>
        <w:rPr>
          <w:rFonts w:asciiTheme="majorHAnsi" w:eastAsiaTheme="majorEastAsia" w:hAnsiTheme="majorHAnsi" w:cstheme="majorBidi"/>
          <w:color w:val="7030A0"/>
          <w:spacing w:val="5"/>
          <w:kern w:val="28"/>
          <w:sz w:val="52"/>
          <w:szCs w:val="52"/>
        </w:rPr>
        <w:t>ANÁLISIS DE LA POBREZA Y EXCLUSIÓN SOCIAL</w:t>
      </w:r>
    </w:p>
    <w:p w:rsidR="001177F3" w:rsidRDefault="001177F3" w:rsidP="004F6B7E">
      <w:pPr>
        <w:jc w:val="both"/>
        <w:rPr>
          <w:rFonts w:ascii="Verdana" w:hAnsi="Verdana"/>
        </w:rPr>
      </w:pPr>
    </w:p>
    <w:p w:rsidR="001177F3" w:rsidRPr="00FD3AF5" w:rsidRDefault="001177F3" w:rsidP="00FD3AF5">
      <w:pPr>
        <w:pStyle w:val="Prrafodelista"/>
        <w:numPr>
          <w:ilvl w:val="0"/>
          <w:numId w:val="17"/>
        </w:numPr>
        <w:jc w:val="both"/>
        <w:rPr>
          <w:rFonts w:ascii="Verdana" w:hAnsi="Verdana"/>
          <w:b/>
          <w:color w:val="7030A0"/>
        </w:rPr>
      </w:pPr>
      <w:r w:rsidRPr="00FD3AF5">
        <w:rPr>
          <w:rFonts w:ascii="Verdana" w:hAnsi="Verdana"/>
          <w:b/>
          <w:color w:val="7030A0"/>
        </w:rPr>
        <w:t xml:space="preserve"> TASAS DE RIESGO DE POBREZA</w:t>
      </w:r>
    </w:p>
    <w:p w:rsidR="00A02377" w:rsidRDefault="00A02377" w:rsidP="004F6B7E">
      <w:pPr>
        <w:jc w:val="both"/>
        <w:rPr>
          <w:rFonts w:ascii="Verdana" w:hAnsi="Verdana"/>
        </w:rPr>
      </w:pPr>
    </w:p>
    <w:p w:rsidR="00912B0A" w:rsidRPr="00A364A5" w:rsidRDefault="00C02D8D" w:rsidP="004F6B7E">
      <w:pPr>
        <w:pStyle w:val="Prrafodelista"/>
        <w:numPr>
          <w:ilvl w:val="0"/>
          <w:numId w:val="3"/>
        </w:numPr>
        <w:jc w:val="both"/>
        <w:rPr>
          <w:rFonts w:ascii="Verdana" w:hAnsi="Verdana"/>
          <w:b/>
          <w:color w:val="7030A0"/>
        </w:rPr>
      </w:pPr>
      <w:r w:rsidRPr="00C02D8D">
        <w:rPr>
          <w:rFonts w:ascii="Verdana" w:hAnsi="Verdana"/>
          <w:b/>
          <w:color w:val="7030A0"/>
        </w:rPr>
        <w:t>Contexto Europeo</w:t>
      </w:r>
    </w:p>
    <w:p w:rsidR="00912B0A" w:rsidRPr="00F05FD6" w:rsidRDefault="00FB71F0" w:rsidP="00FB71F0">
      <w:pPr>
        <w:spacing w:line="360" w:lineRule="auto"/>
        <w:jc w:val="both"/>
        <w:rPr>
          <w:rFonts w:ascii="Verdana" w:hAnsi="Verdana"/>
        </w:rPr>
      </w:pPr>
      <w:r w:rsidRPr="00F05FD6">
        <w:rPr>
          <w:rFonts w:ascii="Verdana" w:hAnsi="Verdana"/>
        </w:rPr>
        <w:t>En la Estrategia 2020 l</w:t>
      </w:r>
      <w:r w:rsidR="00912B0A" w:rsidRPr="00F05FD6">
        <w:rPr>
          <w:rFonts w:ascii="Verdana" w:hAnsi="Verdana"/>
        </w:rPr>
        <w:t xml:space="preserve">a Unión Europea establece </w:t>
      </w:r>
      <w:r w:rsidR="00B632F6" w:rsidRPr="00F05FD6">
        <w:rPr>
          <w:rFonts w:ascii="Verdana" w:hAnsi="Verdana"/>
        </w:rPr>
        <w:t xml:space="preserve">un nuevo </w:t>
      </w:r>
      <w:r w:rsidR="00912B0A" w:rsidRPr="00F05FD6">
        <w:rPr>
          <w:rFonts w:ascii="Verdana" w:hAnsi="Verdana"/>
        </w:rPr>
        <w:t>indicador</w:t>
      </w:r>
      <w:r w:rsidR="00B632F6" w:rsidRPr="00F05FD6">
        <w:rPr>
          <w:rFonts w:ascii="Verdana" w:hAnsi="Verdana"/>
        </w:rPr>
        <w:t>,</w:t>
      </w:r>
      <w:r w:rsidR="00912B0A" w:rsidRPr="00F05FD6">
        <w:rPr>
          <w:rFonts w:ascii="Verdana" w:hAnsi="Verdana"/>
        </w:rPr>
        <w:t xml:space="preserve"> AROPE</w:t>
      </w:r>
      <w:r w:rsidRPr="00F05FD6">
        <w:rPr>
          <w:rFonts w:ascii="Verdana" w:hAnsi="Verdana"/>
        </w:rPr>
        <w:t xml:space="preserve"> (at </w:t>
      </w:r>
      <w:proofErr w:type="spellStart"/>
      <w:r w:rsidRPr="00F05FD6">
        <w:rPr>
          <w:rFonts w:ascii="Verdana" w:hAnsi="Verdana"/>
        </w:rPr>
        <w:t>risk</w:t>
      </w:r>
      <w:proofErr w:type="spellEnd"/>
      <w:r w:rsidRPr="00F05FD6">
        <w:rPr>
          <w:rFonts w:ascii="Verdana" w:hAnsi="Verdana"/>
        </w:rPr>
        <w:t xml:space="preserve"> of </w:t>
      </w:r>
      <w:proofErr w:type="spellStart"/>
      <w:r w:rsidRPr="00F05FD6">
        <w:rPr>
          <w:rFonts w:ascii="Verdana" w:hAnsi="Verdana"/>
        </w:rPr>
        <w:t>poverty</w:t>
      </w:r>
      <w:proofErr w:type="spellEnd"/>
      <w:r w:rsidRPr="00F05FD6">
        <w:rPr>
          <w:rFonts w:ascii="Verdana" w:hAnsi="Verdana"/>
        </w:rPr>
        <w:t xml:space="preserve"> and exclusión)</w:t>
      </w:r>
      <w:r w:rsidR="00912B0A" w:rsidRPr="00F05FD6">
        <w:rPr>
          <w:rFonts w:ascii="Verdana" w:hAnsi="Verdana"/>
        </w:rPr>
        <w:t xml:space="preserve"> para medir la pobreza y la desigualdad social</w:t>
      </w:r>
      <w:r w:rsidRPr="00F05FD6">
        <w:rPr>
          <w:rFonts w:ascii="Verdana" w:hAnsi="Verdana"/>
        </w:rPr>
        <w:t>.</w:t>
      </w:r>
      <w:r w:rsidR="00E65C8F" w:rsidRPr="00F05FD6">
        <w:rPr>
          <w:rFonts w:ascii="Verdana" w:hAnsi="Verdana"/>
        </w:rPr>
        <w:t xml:space="preserve"> En esta Estrategia se considera que una persona está en riesgo de pobreza y/o exclusión social si se encuentra en alguna de estas tres situaciones:</w:t>
      </w:r>
    </w:p>
    <w:p w:rsidR="00E65C8F" w:rsidRPr="00F05FD6" w:rsidRDefault="00E65C8F" w:rsidP="00E65C8F">
      <w:pPr>
        <w:pStyle w:val="Prrafodelista"/>
        <w:numPr>
          <w:ilvl w:val="0"/>
          <w:numId w:val="7"/>
        </w:numPr>
        <w:spacing w:line="360" w:lineRule="auto"/>
        <w:jc w:val="both"/>
        <w:rPr>
          <w:rFonts w:ascii="Verdana" w:hAnsi="Verdana"/>
        </w:rPr>
      </w:pPr>
      <w:r w:rsidRPr="00F05FD6">
        <w:rPr>
          <w:rFonts w:ascii="Verdana" w:hAnsi="Verdana"/>
        </w:rPr>
        <w:t>Personas que viven con bajos ingresos (60% de la mediana del ingreso equivalente o por unidad de consumo en el año anterior a la entrevista)</w:t>
      </w:r>
    </w:p>
    <w:p w:rsidR="00E65C8F" w:rsidRPr="00F05FD6" w:rsidRDefault="00E65C8F" w:rsidP="00E65C8F">
      <w:pPr>
        <w:pStyle w:val="Prrafodelista"/>
        <w:numPr>
          <w:ilvl w:val="0"/>
          <w:numId w:val="7"/>
        </w:numPr>
        <w:spacing w:line="360" w:lineRule="auto"/>
        <w:jc w:val="both"/>
        <w:rPr>
          <w:rFonts w:ascii="Verdana" w:hAnsi="Verdana"/>
        </w:rPr>
      </w:pPr>
      <w:r w:rsidRPr="00F05FD6">
        <w:rPr>
          <w:rFonts w:ascii="Verdana" w:hAnsi="Verdana"/>
        </w:rPr>
        <w:t xml:space="preserve">Personas que sufren privación material severa (4 de los </w:t>
      </w:r>
      <w:r w:rsidR="00C731F0" w:rsidRPr="00F05FD6">
        <w:rPr>
          <w:rFonts w:ascii="Verdana" w:hAnsi="Verdana"/>
        </w:rPr>
        <w:t xml:space="preserve">9 </w:t>
      </w:r>
      <w:r w:rsidRPr="00F05FD6">
        <w:rPr>
          <w:rFonts w:ascii="Verdana" w:hAnsi="Verdana"/>
        </w:rPr>
        <w:t>ítems definidos)</w:t>
      </w:r>
    </w:p>
    <w:p w:rsidR="00912B0A" w:rsidRPr="00F05FD6" w:rsidRDefault="00E65C8F" w:rsidP="004F6B7E">
      <w:pPr>
        <w:pStyle w:val="Prrafodelista"/>
        <w:numPr>
          <w:ilvl w:val="0"/>
          <w:numId w:val="7"/>
        </w:numPr>
        <w:spacing w:line="360" w:lineRule="auto"/>
        <w:jc w:val="both"/>
        <w:rPr>
          <w:rFonts w:ascii="Verdana" w:hAnsi="Verdana"/>
        </w:rPr>
      </w:pPr>
      <w:r w:rsidRPr="00F05FD6">
        <w:rPr>
          <w:rFonts w:ascii="Verdana" w:hAnsi="Verdana"/>
        </w:rPr>
        <w:t>Personas que viven en hogares con una intensidad de empleo muy baja (por debajo del 20% del total de su potencial de trabajo en el año anterior a la entrevista)</w:t>
      </w:r>
    </w:p>
    <w:p w:rsidR="007C4BF0" w:rsidRPr="00F05FD6" w:rsidRDefault="00641442" w:rsidP="00CC078E">
      <w:pPr>
        <w:spacing w:line="360" w:lineRule="auto"/>
        <w:jc w:val="both"/>
        <w:rPr>
          <w:rFonts w:ascii="Verdana" w:hAnsi="Verdana"/>
        </w:rPr>
      </w:pPr>
      <w:r w:rsidRPr="00F05FD6">
        <w:rPr>
          <w:rFonts w:ascii="Verdana" w:hAnsi="Verdana"/>
        </w:rPr>
        <w:t>En el entorno europeo</w:t>
      </w:r>
      <w:r w:rsidR="00C731F0" w:rsidRPr="00F05FD6">
        <w:rPr>
          <w:rFonts w:ascii="Verdana" w:hAnsi="Verdana"/>
        </w:rPr>
        <w:t>,</w:t>
      </w:r>
      <w:r w:rsidRPr="00F05FD6">
        <w:rPr>
          <w:rFonts w:ascii="Verdana" w:hAnsi="Verdana"/>
        </w:rPr>
        <w:t xml:space="preserve"> </w:t>
      </w:r>
      <w:r w:rsidR="002102CA" w:rsidRPr="00F05FD6">
        <w:rPr>
          <w:rFonts w:ascii="Verdana" w:hAnsi="Verdana"/>
          <w:b/>
          <w:color w:val="7030A0"/>
        </w:rPr>
        <w:t>España</w:t>
      </w:r>
      <w:r w:rsidR="002102CA" w:rsidRPr="00F05FD6">
        <w:rPr>
          <w:rFonts w:ascii="Verdana" w:hAnsi="Verdana"/>
        </w:rPr>
        <w:t xml:space="preserve"> </w:t>
      </w:r>
      <w:r w:rsidRPr="00F05FD6">
        <w:rPr>
          <w:rFonts w:ascii="Verdana" w:hAnsi="Verdana"/>
        </w:rPr>
        <w:t xml:space="preserve">ocupa una </w:t>
      </w:r>
      <w:r w:rsidRPr="00F05FD6">
        <w:rPr>
          <w:rFonts w:ascii="Verdana" w:hAnsi="Verdana"/>
          <w:b/>
          <w:color w:val="7030A0"/>
        </w:rPr>
        <w:t xml:space="preserve">posición </w:t>
      </w:r>
      <w:r w:rsidR="006157FB" w:rsidRPr="00F05FD6">
        <w:rPr>
          <w:rFonts w:ascii="Verdana" w:hAnsi="Verdana"/>
          <w:b/>
          <w:color w:val="7030A0"/>
        </w:rPr>
        <w:t>preocupante</w:t>
      </w:r>
      <w:r w:rsidR="006157FB" w:rsidRPr="00F05FD6">
        <w:rPr>
          <w:rFonts w:ascii="Verdana" w:hAnsi="Verdana"/>
        </w:rPr>
        <w:t xml:space="preserve"> en términos de pobreza con una </w:t>
      </w:r>
      <w:r w:rsidR="00CC078E" w:rsidRPr="00F05FD6">
        <w:rPr>
          <w:rFonts w:ascii="Verdana" w:hAnsi="Verdana"/>
        </w:rPr>
        <w:t xml:space="preserve">tasa del </w:t>
      </w:r>
      <w:r w:rsidR="00843A5C" w:rsidRPr="00F05FD6">
        <w:rPr>
          <w:rFonts w:ascii="Verdana" w:hAnsi="Verdana"/>
        </w:rPr>
        <w:t>26,2</w:t>
      </w:r>
      <w:r w:rsidR="00CC078E" w:rsidRPr="00F05FD6">
        <w:rPr>
          <w:rFonts w:ascii="Verdana" w:hAnsi="Verdana"/>
        </w:rPr>
        <w:t>% en 201</w:t>
      </w:r>
      <w:r w:rsidR="00843A5C" w:rsidRPr="00F05FD6">
        <w:rPr>
          <w:rFonts w:ascii="Verdana" w:hAnsi="Verdana"/>
        </w:rPr>
        <w:t>9</w:t>
      </w:r>
      <w:r w:rsidR="00C731F0" w:rsidRPr="00F05FD6">
        <w:rPr>
          <w:rStyle w:val="Refdenotaalpie"/>
          <w:rFonts w:ascii="Verdana" w:hAnsi="Verdana"/>
        </w:rPr>
        <w:footnoteReference w:id="2"/>
      </w:r>
      <w:r w:rsidR="00CC078E" w:rsidRPr="00F05FD6">
        <w:rPr>
          <w:rFonts w:ascii="Verdana" w:hAnsi="Verdana"/>
        </w:rPr>
        <w:t>, supera</w:t>
      </w:r>
      <w:r w:rsidR="006157FB" w:rsidRPr="00F05FD6">
        <w:rPr>
          <w:rFonts w:ascii="Verdana" w:hAnsi="Verdana"/>
        </w:rPr>
        <w:t>ndo</w:t>
      </w:r>
      <w:r w:rsidR="00CC078E" w:rsidRPr="00F05FD6">
        <w:rPr>
          <w:rFonts w:ascii="Verdana" w:hAnsi="Verdana"/>
        </w:rPr>
        <w:t xml:space="preserve"> en </w:t>
      </w:r>
      <w:r w:rsidR="00843A5C" w:rsidRPr="00F05FD6">
        <w:rPr>
          <w:rFonts w:ascii="Verdana" w:hAnsi="Verdana"/>
        </w:rPr>
        <w:t>5,1</w:t>
      </w:r>
      <w:r w:rsidR="00CC078E" w:rsidRPr="00F05FD6">
        <w:rPr>
          <w:rFonts w:ascii="Verdana" w:hAnsi="Verdana"/>
        </w:rPr>
        <w:t xml:space="preserve"> puntos porcentuales a la media europea (</w:t>
      </w:r>
      <w:r w:rsidR="00843A5C" w:rsidRPr="00F05FD6">
        <w:rPr>
          <w:rFonts w:ascii="Verdana" w:hAnsi="Verdana"/>
        </w:rPr>
        <w:t>21,1</w:t>
      </w:r>
      <w:r w:rsidR="00CC078E" w:rsidRPr="00F05FD6">
        <w:rPr>
          <w:rFonts w:ascii="Verdana" w:hAnsi="Verdana"/>
        </w:rPr>
        <w:t xml:space="preserve">%) y </w:t>
      </w:r>
      <w:r w:rsidR="002102CA" w:rsidRPr="00F05FD6">
        <w:rPr>
          <w:rFonts w:ascii="Verdana" w:hAnsi="Verdana"/>
        </w:rPr>
        <w:t xml:space="preserve">destaca por presentar la </w:t>
      </w:r>
      <w:r w:rsidR="00843A5C" w:rsidRPr="00F05FD6">
        <w:rPr>
          <w:rFonts w:ascii="Verdana" w:hAnsi="Verdana"/>
          <w:b/>
          <w:color w:val="7030A0"/>
        </w:rPr>
        <w:t>cuart</w:t>
      </w:r>
      <w:r w:rsidR="002102CA" w:rsidRPr="00F05FD6">
        <w:rPr>
          <w:rFonts w:ascii="Verdana" w:hAnsi="Verdana"/>
          <w:b/>
          <w:color w:val="7030A0"/>
        </w:rPr>
        <w:t>a tasa</w:t>
      </w:r>
      <w:r w:rsidR="002102CA" w:rsidRPr="00F05FD6">
        <w:rPr>
          <w:rFonts w:ascii="Verdana" w:hAnsi="Verdana"/>
        </w:rPr>
        <w:t xml:space="preserve"> de pobreza </w:t>
      </w:r>
      <w:r w:rsidR="002102CA" w:rsidRPr="00F05FD6">
        <w:rPr>
          <w:rFonts w:ascii="Verdana" w:hAnsi="Verdana"/>
          <w:b/>
          <w:color w:val="7030A0"/>
        </w:rPr>
        <w:t xml:space="preserve">más elevada </w:t>
      </w:r>
      <w:r w:rsidR="007C4BF0" w:rsidRPr="00F05FD6">
        <w:rPr>
          <w:rFonts w:ascii="Verdana" w:hAnsi="Verdana"/>
          <w:b/>
          <w:color w:val="7030A0"/>
        </w:rPr>
        <w:t>de Europa</w:t>
      </w:r>
      <w:r w:rsidR="002102CA" w:rsidRPr="00F05FD6">
        <w:rPr>
          <w:rFonts w:ascii="Verdana" w:hAnsi="Verdana"/>
        </w:rPr>
        <w:t xml:space="preserve">, por detrás de países como </w:t>
      </w:r>
      <w:r w:rsidR="00843A5C" w:rsidRPr="00F05FD6">
        <w:rPr>
          <w:rFonts w:ascii="Verdana" w:hAnsi="Verdana"/>
        </w:rPr>
        <w:t xml:space="preserve">Rumanía, Grecia </w:t>
      </w:r>
      <w:r w:rsidR="00CC078E" w:rsidRPr="00F05FD6">
        <w:rPr>
          <w:rFonts w:ascii="Verdana" w:hAnsi="Verdana"/>
        </w:rPr>
        <w:t xml:space="preserve">y Letonia. </w:t>
      </w:r>
    </w:p>
    <w:p w:rsidR="00B57476" w:rsidRDefault="008A178C" w:rsidP="00F36A8C">
      <w:pPr>
        <w:spacing w:line="360" w:lineRule="auto"/>
        <w:jc w:val="both"/>
        <w:rPr>
          <w:rFonts w:ascii="Verdana" w:hAnsi="Verdana"/>
        </w:rPr>
      </w:pPr>
      <w:r w:rsidRPr="00F05FD6">
        <w:rPr>
          <w:rFonts w:ascii="Verdana" w:hAnsi="Verdana"/>
        </w:rPr>
        <w:t>Estas posiciones que ocupa nuestro país en cuanto a tasas de pobreza contrastan con las tasas de crecimiento</w:t>
      </w:r>
      <w:r w:rsidR="00FD5D4A" w:rsidRPr="00F05FD6">
        <w:rPr>
          <w:rFonts w:ascii="Verdana" w:hAnsi="Verdana"/>
        </w:rPr>
        <w:t>,</w:t>
      </w:r>
      <w:r w:rsidRPr="00F05FD6">
        <w:rPr>
          <w:rFonts w:ascii="Verdana" w:hAnsi="Verdana"/>
        </w:rPr>
        <w:t xml:space="preserve"> </w:t>
      </w:r>
      <w:r w:rsidR="00FD5D4A" w:rsidRPr="00F05FD6">
        <w:rPr>
          <w:rFonts w:ascii="Verdana" w:hAnsi="Verdana"/>
        </w:rPr>
        <w:t xml:space="preserve">hasta antes de la llegada de la pandemia, al situarse en el grupo de países con mayores </w:t>
      </w:r>
      <w:r w:rsidR="00C26E3A">
        <w:rPr>
          <w:rFonts w:ascii="Verdana" w:hAnsi="Verdana"/>
        </w:rPr>
        <w:t>tasas de crecimiento económico</w:t>
      </w:r>
      <w:r w:rsidR="00FD5D4A" w:rsidRPr="00F05FD6">
        <w:rPr>
          <w:rFonts w:ascii="Verdana" w:hAnsi="Verdana"/>
        </w:rPr>
        <w:t xml:space="preserve">. Esto pone de manifiesto el </w:t>
      </w:r>
      <w:r w:rsidR="00FD5D4A" w:rsidRPr="00C26E3A">
        <w:rPr>
          <w:rFonts w:ascii="Verdana" w:hAnsi="Verdana"/>
          <w:b/>
          <w:color w:val="7030A0"/>
        </w:rPr>
        <w:t>desequilibrio</w:t>
      </w:r>
      <w:r w:rsidR="00FD5D4A" w:rsidRPr="00F05FD6">
        <w:rPr>
          <w:rFonts w:ascii="Verdana" w:hAnsi="Verdana"/>
        </w:rPr>
        <w:t xml:space="preserve"> que viene mostrando </w:t>
      </w:r>
      <w:r w:rsidR="00FD5D4A" w:rsidRPr="00C26E3A">
        <w:rPr>
          <w:rFonts w:ascii="Verdana" w:hAnsi="Verdana"/>
          <w:b/>
          <w:color w:val="7030A0"/>
        </w:rPr>
        <w:t>España</w:t>
      </w:r>
      <w:r w:rsidR="00FD5D4A" w:rsidRPr="00F05FD6">
        <w:rPr>
          <w:rFonts w:ascii="Verdana" w:hAnsi="Verdana"/>
        </w:rPr>
        <w:t xml:space="preserve"> en cuanto a la </w:t>
      </w:r>
      <w:r w:rsidR="00FD5D4A" w:rsidRPr="00C26E3A">
        <w:rPr>
          <w:rFonts w:ascii="Verdana" w:hAnsi="Verdana"/>
          <w:b/>
          <w:color w:val="7030A0"/>
        </w:rPr>
        <w:t>distribución de la riqueza</w:t>
      </w:r>
      <w:r w:rsidR="00FD5D4A" w:rsidRPr="00F05FD6">
        <w:rPr>
          <w:rFonts w:ascii="Verdana" w:hAnsi="Verdana"/>
        </w:rPr>
        <w:t>.</w:t>
      </w:r>
    </w:p>
    <w:p w:rsidR="006F3288" w:rsidRDefault="00BF3C70" w:rsidP="00F36A8C">
      <w:pPr>
        <w:spacing w:line="360" w:lineRule="auto"/>
        <w:jc w:val="both"/>
        <w:rPr>
          <w:rFonts w:ascii="Verdana" w:hAnsi="Verdana"/>
        </w:rPr>
      </w:pPr>
      <w:r>
        <w:rPr>
          <w:rFonts w:ascii="Verdana" w:hAnsi="Verdana"/>
          <w:noProof/>
          <w:lang w:eastAsia="es-ES"/>
        </w:rPr>
        <w:lastRenderedPageBreak/>
        <w:drawing>
          <wp:inline distT="0" distB="0" distL="0" distR="0">
            <wp:extent cx="5400040" cy="3150235"/>
            <wp:effectExtent l="19050" t="0" r="1016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6235" w:rsidRPr="003451AF" w:rsidRDefault="00736235" w:rsidP="00736235">
      <w:pPr>
        <w:spacing w:after="0" w:line="240" w:lineRule="auto"/>
        <w:ind w:firstLine="708"/>
        <w:jc w:val="both"/>
        <w:rPr>
          <w:rFonts w:ascii="Verdana" w:eastAsiaTheme="majorEastAsia" w:hAnsi="Verdana" w:cstheme="majorBidi"/>
          <w:i/>
          <w:spacing w:val="5"/>
          <w:kern w:val="28"/>
          <w:sz w:val="18"/>
          <w:szCs w:val="18"/>
        </w:rPr>
      </w:pPr>
      <w:proofErr w:type="spellStart"/>
      <w:r>
        <w:rPr>
          <w:rFonts w:ascii="Verdana" w:eastAsiaTheme="majorEastAsia" w:hAnsi="Verdana" w:cstheme="majorBidi"/>
          <w:i/>
          <w:spacing w:val="5"/>
          <w:kern w:val="28"/>
          <w:sz w:val="18"/>
          <w:szCs w:val="18"/>
        </w:rPr>
        <w:t>Fte</w:t>
      </w:r>
      <w:proofErr w:type="spellEnd"/>
      <w:r>
        <w:rPr>
          <w:rFonts w:ascii="Verdana" w:eastAsiaTheme="majorEastAsia" w:hAnsi="Verdana" w:cstheme="majorBidi"/>
          <w:i/>
          <w:spacing w:val="5"/>
          <w:kern w:val="28"/>
          <w:sz w:val="18"/>
          <w:szCs w:val="18"/>
        </w:rPr>
        <w:t xml:space="preserve">: </w:t>
      </w:r>
      <w:proofErr w:type="spellStart"/>
      <w:r>
        <w:rPr>
          <w:rFonts w:ascii="Verdana" w:eastAsiaTheme="majorEastAsia" w:hAnsi="Verdana" w:cstheme="majorBidi"/>
          <w:i/>
          <w:spacing w:val="5"/>
          <w:kern w:val="28"/>
          <w:sz w:val="18"/>
          <w:szCs w:val="18"/>
        </w:rPr>
        <w:t>eurostat</w:t>
      </w:r>
      <w:proofErr w:type="spellEnd"/>
    </w:p>
    <w:p w:rsidR="00D83C50" w:rsidRDefault="00D83C50" w:rsidP="00F36A8C">
      <w:pPr>
        <w:spacing w:line="360" w:lineRule="auto"/>
        <w:jc w:val="both"/>
        <w:rPr>
          <w:rFonts w:ascii="Verdana" w:hAnsi="Verdana"/>
        </w:rPr>
      </w:pPr>
    </w:p>
    <w:p w:rsidR="00734F35" w:rsidRDefault="000D4F92" w:rsidP="00F36A8C">
      <w:pPr>
        <w:spacing w:line="360" w:lineRule="auto"/>
        <w:jc w:val="both"/>
        <w:rPr>
          <w:rFonts w:ascii="Verdana" w:hAnsi="Verdana"/>
        </w:rPr>
      </w:pPr>
      <w:r w:rsidRPr="00F05FD6">
        <w:rPr>
          <w:rFonts w:ascii="Verdana" w:hAnsi="Verdana"/>
        </w:rPr>
        <w:t xml:space="preserve">Los datos de </w:t>
      </w:r>
      <w:r w:rsidRPr="00F05FD6">
        <w:rPr>
          <w:rFonts w:ascii="Verdana" w:hAnsi="Verdana"/>
          <w:b/>
          <w:color w:val="7030A0"/>
        </w:rPr>
        <w:t>pobreza infantil</w:t>
      </w:r>
      <w:r w:rsidRPr="00F05FD6">
        <w:rPr>
          <w:rFonts w:ascii="Verdana" w:hAnsi="Verdana"/>
        </w:rPr>
        <w:t xml:space="preserve"> son aún más </w:t>
      </w:r>
      <w:r w:rsidR="005428B8" w:rsidRPr="00F05FD6">
        <w:rPr>
          <w:rFonts w:ascii="Verdana" w:hAnsi="Verdana"/>
        </w:rPr>
        <w:t>alarmantes al afectar al 31,1% de los menores de 16 años (8,5</w:t>
      </w:r>
      <w:r w:rsidR="00DC6B78" w:rsidRPr="00F05FD6">
        <w:rPr>
          <w:rFonts w:ascii="Verdana" w:hAnsi="Verdana"/>
        </w:rPr>
        <w:t xml:space="preserve"> puntos porcentuales más que la media europea) y la </w:t>
      </w:r>
      <w:r w:rsidR="005428B8" w:rsidRPr="00F05FD6">
        <w:rPr>
          <w:rFonts w:ascii="Verdana" w:hAnsi="Verdana"/>
        </w:rPr>
        <w:t>tercera</w:t>
      </w:r>
      <w:r w:rsidR="00DC6B78" w:rsidRPr="00F05FD6">
        <w:rPr>
          <w:rFonts w:ascii="Verdana" w:hAnsi="Verdana"/>
        </w:rPr>
        <w:t xml:space="preserve"> más alta del conjunto de estados miembros.</w:t>
      </w:r>
    </w:p>
    <w:p w:rsidR="00734F35" w:rsidRDefault="00734F35" w:rsidP="00F36A8C">
      <w:pPr>
        <w:spacing w:line="360" w:lineRule="auto"/>
        <w:jc w:val="both"/>
        <w:rPr>
          <w:rFonts w:ascii="Verdana" w:hAnsi="Verdana"/>
        </w:rPr>
      </w:pPr>
    </w:p>
    <w:p w:rsidR="00734F35" w:rsidRDefault="00734F35" w:rsidP="00F36A8C">
      <w:pPr>
        <w:spacing w:line="360" w:lineRule="auto"/>
        <w:jc w:val="both"/>
        <w:rPr>
          <w:rFonts w:ascii="Verdana" w:hAnsi="Verdana"/>
        </w:rPr>
      </w:pPr>
      <w:r>
        <w:rPr>
          <w:rFonts w:ascii="Verdana" w:hAnsi="Verdana"/>
          <w:noProof/>
          <w:lang w:eastAsia="es-ES"/>
        </w:rPr>
        <w:lastRenderedPageBreak/>
        <w:drawing>
          <wp:inline distT="0" distB="0" distL="0" distR="0">
            <wp:extent cx="5400040" cy="5953125"/>
            <wp:effectExtent l="19050" t="0" r="1016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E7217" w:rsidRPr="003451AF" w:rsidRDefault="000E7217" w:rsidP="000E7217">
      <w:pPr>
        <w:spacing w:after="0" w:line="240" w:lineRule="auto"/>
        <w:ind w:firstLine="708"/>
        <w:jc w:val="both"/>
        <w:rPr>
          <w:rFonts w:ascii="Verdana" w:eastAsiaTheme="majorEastAsia" w:hAnsi="Verdana" w:cstheme="majorBidi"/>
          <w:i/>
          <w:spacing w:val="5"/>
          <w:kern w:val="28"/>
          <w:sz w:val="18"/>
          <w:szCs w:val="18"/>
        </w:rPr>
      </w:pPr>
      <w:proofErr w:type="spellStart"/>
      <w:r>
        <w:rPr>
          <w:rFonts w:ascii="Verdana" w:eastAsiaTheme="majorEastAsia" w:hAnsi="Verdana" w:cstheme="majorBidi"/>
          <w:i/>
          <w:spacing w:val="5"/>
          <w:kern w:val="28"/>
          <w:sz w:val="18"/>
          <w:szCs w:val="18"/>
        </w:rPr>
        <w:t>Fte</w:t>
      </w:r>
      <w:proofErr w:type="spellEnd"/>
      <w:r>
        <w:rPr>
          <w:rFonts w:ascii="Verdana" w:eastAsiaTheme="majorEastAsia" w:hAnsi="Verdana" w:cstheme="majorBidi"/>
          <w:i/>
          <w:spacing w:val="5"/>
          <w:kern w:val="28"/>
          <w:sz w:val="18"/>
          <w:szCs w:val="18"/>
        </w:rPr>
        <w:t xml:space="preserve">: </w:t>
      </w:r>
      <w:proofErr w:type="spellStart"/>
      <w:r>
        <w:rPr>
          <w:rFonts w:ascii="Verdana" w:eastAsiaTheme="majorEastAsia" w:hAnsi="Verdana" w:cstheme="majorBidi"/>
          <w:i/>
          <w:spacing w:val="5"/>
          <w:kern w:val="28"/>
          <w:sz w:val="18"/>
          <w:szCs w:val="18"/>
        </w:rPr>
        <w:t>eurostat</w:t>
      </w:r>
      <w:proofErr w:type="spellEnd"/>
    </w:p>
    <w:p w:rsidR="00C65D03" w:rsidRDefault="00C65D03" w:rsidP="00F36A8C">
      <w:pPr>
        <w:spacing w:line="360" w:lineRule="auto"/>
        <w:jc w:val="both"/>
        <w:rPr>
          <w:rFonts w:ascii="Verdana" w:hAnsi="Verdana"/>
        </w:rPr>
      </w:pPr>
    </w:p>
    <w:p w:rsidR="001E5C3F" w:rsidRDefault="001E5C3F" w:rsidP="00F36A8C">
      <w:pPr>
        <w:spacing w:line="360" w:lineRule="auto"/>
        <w:jc w:val="both"/>
        <w:rPr>
          <w:rFonts w:ascii="Verdana" w:hAnsi="Verdana"/>
        </w:rPr>
      </w:pPr>
    </w:p>
    <w:p w:rsidR="001E5C3F" w:rsidRDefault="001E5C3F" w:rsidP="00F36A8C">
      <w:pPr>
        <w:spacing w:line="360" w:lineRule="auto"/>
        <w:jc w:val="both"/>
        <w:rPr>
          <w:rFonts w:ascii="Verdana" w:hAnsi="Verdana"/>
        </w:rPr>
      </w:pPr>
    </w:p>
    <w:p w:rsidR="001E5C3F" w:rsidRDefault="001E5C3F" w:rsidP="00F36A8C">
      <w:pPr>
        <w:spacing w:line="360" w:lineRule="auto"/>
        <w:jc w:val="both"/>
        <w:rPr>
          <w:rFonts w:ascii="Verdana" w:hAnsi="Verdana"/>
        </w:rPr>
      </w:pPr>
    </w:p>
    <w:p w:rsidR="001E5C3F" w:rsidRDefault="001E5C3F" w:rsidP="00F36A8C">
      <w:pPr>
        <w:spacing w:line="360" w:lineRule="auto"/>
        <w:jc w:val="both"/>
        <w:rPr>
          <w:rFonts w:ascii="Verdana" w:hAnsi="Verdana"/>
        </w:rPr>
      </w:pPr>
    </w:p>
    <w:p w:rsidR="001E5C3F" w:rsidRDefault="001E5C3F" w:rsidP="00F36A8C">
      <w:pPr>
        <w:spacing w:line="360" w:lineRule="auto"/>
        <w:jc w:val="both"/>
        <w:rPr>
          <w:rFonts w:ascii="Verdana" w:hAnsi="Verdana"/>
        </w:rPr>
      </w:pPr>
    </w:p>
    <w:p w:rsidR="001E5C3F" w:rsidRDefault="001E5C3F" w:rsidP="00F36A8C">
      <w:pPr>
        <w:spacing w:line="360" w:lineRule="auto"/>
        <w:jc w:val="both"/>
        <w:rPr>
          <w:rFonts w:ascii="Verdana" w:hAnsi="Verdana"/>
        </w:rPr>
      </w:pPr>
    </w:p>
    <w:p w:rsidR="00386AC0" w:rsidRPr="00047008" w:rsidRDefault="00C02D8D" w:rsidP="00F36A8C">
      <w:pPr>
        <w:pStyle w:val="Prrafodelista"/>
        <w:numPr>
          <w:ilvl w:val="0"/>
          <w:numId w:val="3"/>
        </w:numPr>
        <w:spacing w:line="360" w:lineRule="auto"/>
        <w:jc w:val="both"/>
        <w:rPr>
          <w:rFonts w:ascii="Verdana" w:hAnsi="Verdana"/>
          <w:b/>
          <w:color w:val="7030A0"/>
        </w:rPr>
      </w:pPr>
      <w:r w:rsidRPr="001E5C3F">
        <w:rPr>
          <w:rFonts w:ascii="Verdana" w:hAnsi="Verdana"/>
          <w:b/>
          <w:color w:val="7030A0"/>
        </w:rPr>
        <w:lastRenderedPageBreak/>
        <w:t>Asturias</w:t>
      </w:r>
    </w:p>
    <w:p w:rsidR="00386AC0" w:rsidRDefault="00386AC0" w:rsidP="00F36A8C">
      <w:pPr>
        <w:spacing w:line="360" w:lineRule="auto"/>
        <w:jc w:val="both"/>
        <w:rPr>
          <w:rFonts w:ascii="Verdana" w:hAnsi="Verdana"/>
        </w:rPr>
      </w:pPr>
      <w:r>
        <w:rPr>
          <w:rFonts w:ascii="Verdana" w:hAnsi="Verdana"/>
        </w:rPr>
        <w:t xml:space="preserve">En este apartado se analizarán los datos recogidos en la Encuesta de Condiciones de Vida, elaborada por el INE. En este sentido cabe matizar distintos aspectos que el COVID ha </w:t>
      </w:r>
      <w:r w:rsidR="00C26E3A">
        <w:rPr>
          <w:rFonts w:ascii="Verdana" w:hAnsi="Verdana"/>
        </w:rPr>
        <w:t>generado</w:t>
      </w:r>
      <w:r>
        <w:rPr>
          <w:rFonts w:ascii="Verdana" w:hAnsi="Verdana"/>
        </w:rPr>
        <w:t xml:space="preserve"> en esta Encuesta</w:t>
      </w:r>
      <w:r w:rsidR="00CF69EF">
        <w:rPr>
          <w:rStyle w:val="Refdenotaalpie"/>
          <w:rFonts w:ascii="Verdana" w:hAnsi="Verdana"/>
        </w:rPr>
        <w:footnoteReference w:id="3"/>
      </w:r>
      <w:r>
        <w:rPr>
          <w:rFonts w:ascii="Verdana" w:hAnsi="Verdana"/>
        </w:rPr>
        <w:t xml:space="preserve">: los datos  de los ingresos son relativos al año anterior por lo que no recogen todo el impacto de la crisis, </w:t>
      </w:r>
      <w:r w:rsidR="00CF69EF">
        <w:rPr>
          <w:rFonts w:ascii="Verdana" w:hAnsi="Verdana"/>
        </w:rPr>
        <w:t>para minimizar el riesgo sobre la salud de los entrevistadores no se han realizado entrevistas presenciales</w:t>
      </w:r>
      <w:r w:rsidR="00C26E3A">
        <w:rPr>
          <w:rFonts w:ascii="Verdana" w:hAnsi="Verdana"/>
        </w:rPr>
        <w:t>, a la vez que</w:t>
      </w:r>
      <w:r w:rsidR="00CF69EF">
        <w:rPr>
          <w:rFonts w:ascii="Verdana" w:hAnsi="Verdana"/>
        </w:rPr>
        <w:t xml:space="preserve"> se ha producido una reducción en el tamaño de la muestra.</w:t>
      </w:r>
    </w:p>
    <w:p w:rsidR="001E5C3F" w:rsidRDefault="00C26E3A" w:rsidP="00F36A8C">
      <w:pPr>
        <w:spacing w:line="360" w:lineRule="auto"/>
        <w:jc w:val="both"/>
        <w:rPr>
          <w:rFonts w:ascii="Verdana" w:hAnsi="Verdana"/>
        </w:rPr>
      </w:pPr>
      <w:r>
        <w:rPr>
          <w:rFonts w:ascii="Verdana" w:hAnsi="Verdana"/>
        </w:rPr>
        <w:t xml:space="preserve">El </w:t>
      </w:r>
      <w:r w:rsidRPr="00C26E3A">
        <w:rPr>
          <w:rFonts w:ascii="Verdana" w:hAnsi="Verdana"/>
          <w:b/>
          <w:color w:val="7030A0"/>
        </w:rPr>
        <w:t>impacto del COVID</w:t>
      </w:r>
      <w:r>
        <w:rPr>
          <w:rFonts w:ascii="Verdana" w:hAnsi="Verdana"/>
        </w:rPr>
        <w:t xml:space="preserve"> en la situación de </w:t>
      </w:r>
      <w:r w:rsidRPr="00C26E3A">
        <w:rPr>
          <w:rFonts w:ascii="Verdana" w:hAnsi="Verdana"/>
          <w:b/>
          <w:color w:val="7030A0"/>
        </w:rPr>
        <w:t>pobreza es más que evidente</w:t>
      </w:r>
      <w:r>
        <w:rPr>
          <w:rFonts w:ascii="Verdana" w:hAnsi="Verdana"/>
        </w:rPr>
        <w:t xml:space="preserve">. </w:t>
      </w:r>
      <w:r w:rsidR="001E5C3F">
        <w:rPr>
          <w:rFonts w:ascii="Verdana" w:hAnsi="Verdana"/>
        </w:rPr>
        <w:t xml:space="preserve">De acuerdo con la </w:t>
      </w:r>
      <w:r w:rsidR="001E5C3F" w:rsidRPr="002A17A2">
        <w:rPr>
          <w:rFonts w:ascii="Verdana" w:hAnsi="Verdana"/>
          <w:i/>
        </w:rPr>
        <w:t>Encuesta de Condiciones de Vida</w:t>
      </w:r>
      <w:r w:rsidR="001E5C3F">
        <w:rPr>
          <w:rFonts w:ascii="Verdana" w:hAnsi="Verdana"/>
        </w:rPr>
        <w:t xml:space="preserve"> relativa al año 2020</w:t>
      </w:r>
      <w:r w:rsidR="002A17A2">
        <w:rPr>
          <w:rFonts w:ascii="Verdana" w:hAnsi="Verdana"/>
        </w:rPr>
        <w:t>, la</w:t>
      </w:r>
      <w:r w:rsidR="00BF4662">
        <w:rPr>
          <w:rFonts w:ascii="Verdana" w:hAnsi="Verdana"/>
        </w:rPr>
        <w:t>s</w:t>
      </w:r>
      <w:r w:rsidR="002A17A2">
        <w:rPr>
          <w:rFonts w:ascii="Verdana" w:hAnsi="Verdana"/>
        </w:rPr>
        <w:t xml:space="preserve"> tasa</w:t>
      </w:r>
      <w:r w:rsidR="00BF4662">
        <w:rPr>
          <w:rFonts w:ascii="Verdana" w:hAnsi="Verdana"/>
        </w:rPr>
        <w:t>s</w:t>
      </w:r>
      <w:r w:rsidR="002A17A2">
        <w:rPr>
          <w:rFonts w:ascii="Verdana" w:hAnsi="Verdana"/>
        </w:rPr>
        <w:t xml:space="preserve"> de pobreza ha</w:t>
      </w:r>
      <w:r w:rsidR="00BF4662">
        <w:rPr>
          <w:rFonts w:ascii="Verdana" w:hAnsi="Verdana"/>
        </w:rPr>
        <w:t>n</w:t>
      </w:r>
      <w:r w:rsidR="002A17A2">
        <w:rPr>
          <w:rFonts w:ascii="Verdana" w:hAnsi="Verdana"/>
        </w:rPr>
        <w:t xml:space="preserve"> aumentado de manera exponencial. En Asturias, esta </w:t>
      </w:r>
      <w:r w:rsidR="00BF4662">
        <w:rPr>
          <w:rFonts w:ascii="Verdana" w:hAnsi="Verdana"/>
          <w:b/>
          <w:color w:val="7030A0"/>
        </w:rPr>
        <w:t xml:space="preserve">tasa </w:t>
      </w:r>
      <w:r w:rsidR="007D5E76">
        <w:rPr>
          <w:rFonts w:ascii="Verdana" w:hAnsi="Verdana"/>
          <w:b/>
          <w:color w:val="7030A0"/>
        </w:rPr>
        <w:t>de pobreza o exclusión social (T</w:t>
      </w:r>
      <w:r w:rsidR="00BF4662">
        <w:rPr>
          <w:rFonts w:ascii="Verdana" w:hAnsi="Verdana"/>
          <w:b/>
          <w:color w:val="7030A0"/>
        </w:rPr>
        <w:t xml:space="preserve">asa </w:t>
      </w:r>
      <w:proofErr w:type="spellStart"/>
      <w:r w:rsidR="00BF4662">
        <w:rPr>
          <w:rFonts w:ascii="Verdana" w:hAnsi="Verdana"/>
          <w:b/>
          <w:color w:val="7030A0"/>
        </w:rPr>
        <w:t>Arope</w:t>
      </w:r>
      <w:proofErr w:type="spellEnd"/>
      <w:r w:rsidR="00CF69EF">
        <w:rPr>
          <w:rStyle w:val="Refdenotaalpie"/>
          <w:rFonts w:ascii="Verdana" w:hAnsi="Verdana"/>
          <w:b/>
          <w:color w:val="7030A0"/>
        </w:rPr>
        <w:footnoteReference w:id="4"/>
      </w:r>
      <w:r w:rsidR="00BF4662">
        <w:rPr>
          <w:rFonts w:ascii="Verdana" w:hAnsi="Verdana"/>
          <w:b/>
          <w:color w:val="7030A0"/>
        </w:rPr>
        <w:t xml:space="preserve">) </w:t>
      </w:r>
      <w:r w:rsidR="002A17A2">
        <w:rPr>
          <w:rFonts w:ascii="Verdana" w:hAnsi="Verdana"/>
        </w:rPr>
        <w:t xml:space="preserve">se </w:t>
      </w:r>
      <w:r>
        <w:rPr>
          <w:rFonts w:ascii="Verdana" w:hAnsi="Verdana"/>
        </w:rPr>
        <w:t>dispara hasta</w:t>
      </w:r>
      <w:r w:rsidR="002A17A2">
        <w:rPr>
          <w:rFonts w:ascii="Verdana" w:hAnsi="Verdana"/>
        </w:rPr>
        <w:t xml:space="preserve"> el </w:t>
      </w:r>
      <w:r w:rsidR="002A17A2" w:rsidRPr="002A17A2">
        <w:rPr>
          <w:rFonts w:ascii="Verdana" w:hAnsi="Verdana"/>
          <w:b/>
          <w:color w:val="7030A0"/>
        </w:rPr>
        <w:t>27,7%</w:t>
      </w:r>
      <w:r w:rsidR="002A17A2">
        <w:rPr>
          <w:rFonts w:ascii="Verdana" w:hAnsi="Verdana"/>
        </w:rPr>
        <w:t xml:space="preserve">, aumentando 3,1 puntos porcentuales respecto al año 2019, lo que implica que </w:t>
      </w:r>
      <w:r w:rsidR="002A17A2" w:rsidRPr="002A17A2">
        <w:rPr>
          <w:rFonts w:ascii="Verdana" w:hAnsi="Verdana"/>
          <w:b/>
          <w:color w:val="7030A0"/>
        </w:rPr>
        <w:t>casi 3 de cada 10 asturianos están en riesgo de pobreza o exclusión social</w:t>
      </w:r>
      <w:r w:rsidR="002A17A2">
        <w:rPr>
          <w:rFonts w:ascii="Verdana" w:hAnsi="Verdana"/>
        </w:rPr>
        <w:t>.</w:t>
      </w:r>
    </w:p>
    <w:p w:rsidR="00F36A8C" w:rsidRPr="0023179B" w:rsidRDefault="002A17A2" w:rsidP="00047008">
      <w:pPr>
        <w:spacing w:line="360" w:lineRule="auto"/>
        <w:jc w:val="both"/>
        <w:rPr>
          <w:rFonts w:ascii="Verdana" w:hAnsi="Verdana"/>
        </w:rPr>
      </w:pPr>
      <w:r>
        <w:rPr>
          <w:rFonts w:ascii="Verdana" w:hAnsi="Verdana"/>
        </w:rPr>
        <w:t xml:space="preserve">Las </w:t>
      </w:r>
      <w:r w:rsidRPr="002A17A2">
        <w:rPr>
          <w:rFonts w:ascii="Verdana" w:hAnsi="Verdana"/>
          <w:b/>
          <w:color w:val="7030A0"/>
        </w:rPr>
        <w:t>tasas de pobreza en Asturias</w:t>
      </w:r>
      <w:r>
        <w:rPr>
          <w:rFonts w:ascii="Verdana" w:hAnsi="Verdana"/>
        </w:rPr>
        <w:t xml:space="preserve"> </w:t>
      </w:r>
      <w:r w:rsidRPr="002A17A2">
        <w:rPr>
          <w:rFonts w:ascii="Verdana" w:hAnsi="Verdana"/>
          <w:b/>
          <w:color w:val="7030A0"/>
        </w:rPr>
        <w:t>acumulan tres años de crecimiento continuado</w:t>
      </w:r>
      <w:r>
        <w:rPr>
          <w:rFonts w:ascii="Verdana" w:hAnsi="Verdana"/>
        </w:rPr>
        <w:t xml:space="preserve">. </w:t>
      </w:r>
      <w:r w:rsidR="00C26E3A">
        <w:rPr>
          <w:rFonts w:ascii="Verdana" w:hAnsi="Verdana"/>
        </w:rPr>
        <w:t>Tradicionalmente est</w:t>
      </w:r>
      <w:r>
        <w:rPr>
          <w:rFonts w:ascii="Verdana" w:hAnsi="Verdana"/>
        </w:rPr>
        <w:t xml:space="preserve">as tasas </w:t>
      </w:r>
      <w:r w:rsidR="00C26E3A">
        <w:rPr>
          <w:rFonts w:ascii="Verdana" w:hAnsi="Verdana"/>
        </w:rPr>
        <w:t xml:space="preserve">en nuestra región se situaban </w:t>
      </w:r>
      <w:r>
        <w:rPr>
          <w:rFonts w:ascii="Verdana" w:hAnsi="Verdana"/>
        </w:rPr>
        <w:t>por debajo de la media del país, situación que se invierte en 2019 y se mantiene en 2020.</w:t>
      </w:r>
    </w:p>
    <w:p w:rsidR="002B3E6E" w:rsidRPr="0023179B" w:rsidRDefault="00F36A8C" w:rsidP="00D9412F">
      <w:pPr>
        <w:jc w:val="center"/>
        <w:rPr>
          <w:rFonts w:ascii="Verdana" w:hAnsi="Verdana"/>
        </w:rPr>
      </w:pPr>
      <w:r w:rsidRPr="0023179B">
        <w:rPr>
          <w:rFonts w:ascii="Verdana" w:hAnsi="Verdana"/>
          <w:noProof/>
          <w:lang w:eastAsia="es-ES"/>
        </w:rPr>
        <w:drawing>
          <wp:inline distT="0" distB="0" distL="0" distR="0">
            <wp:extent cx="4770203" cy="2576223"/>
            <wp:effectExtent l="19050" t="0" r="11347"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E7217" w:rsidRPr="0023179B" w:rsidRDefault="000E7217" w:rsidP="00D9412F">
      <w:pPr>
        <w:jc w:val="center"/>
        <w:rPr>
          <w:rFonts w:ascii="Verdana" w:hAnsi="Verdana"/>
        </w:rPr>
      </w:pPr>
      <w:proofErr w:type="spellStart"/>
      <w:r w:rsidRPr="0023179B">
        <w:rPr>
          <w:rFonts w:ascii="Verdana" w:eastAsiaTheme="majorEastAsia" w:hAnsi="Verdana" w:cstheme="majorBidi"/>
          <w:i/>
          <w:spacing w:val="5"/>
          <w:kern w:val="28"/>
          <w:sz w:val="18"/>
          <w:szCs w:val="18"/>
        </w:rPr>
        <w:t>Fte</w:t>
      </w:r>
      <w:proofErr w:type="spellEnd"/>
      <w:r w:rsidRPr="0023179B">
        <w:rPr>
          <w:rFonts w:ascii="Verdana" w:eastAsiaTheme="majorEastAsia" w:hAnsi="Verdana" w:cstheme="majorBidi"/>
          <w:i/>
          <w:spacing w:val="5"/>
          <w:kern w:val="28"/>
          <w:sz w:val="18"/>
          <w:szCs w:val="18"/>
        </w:rPr>
        <w:t xml:space="preserve">: INE, Encuesta de Condiciones de Vida </w:t>
      </w:r>
    </w:p>
    <w:p w:rsidR="00D53085" w:rsidRPr="0023179B" w:rsidRDefault="00D53085" w:rsidP="003C4E32">
      <w:pPr>
        <w:jc w:val="both"/>
        <w:rPr>
          <w:rFonts w:ascii="Verdana" w:hAnsi="Verdana"/>
          <w:b/>
          <w:color w:val="7030A0"/>
        </w:rPr>
      </w:pPr>
    </w:p>
    <w:p w:rsidR="00DD3B9D" w:rsidRPr="002A17A2" w:rsidRDefault="005A690B" w:rsidP="003C4E32">
      <w:pPr>
        <w:jc w:val="both"/>
        <w:rPr>
          <w:rFonts w:ascii="Verdana" w:hAnsi="Verdana"/>
          <w:b/>
          <w:color w:val="7030A0"/>
        </w:rPr>
      </w:pPr>
      <w:r w:rsidRPr="002A17A2">
        <w:rPr>
          <w:rFonts w:ascii="Verdana" w:hAnsi="Verdana"/>
          <w:b/>
          <w:noProof/>
          <w:color w:val="7030A0"/>
          <w:lang w:eastAsia="es-ES"/>
        </w:rPr>
        <w:drawing>
          <wp:inline distT="0" distB="0" distL="0" distR="0">
            <wp:extent cx="5400040" cy="3467100"/>
            <wp:effectExtent l="19050" t="0" r="1016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D3B9D" w:rsidRDefault="005754A1" w:rsidP="005754A1">
      <w:pPr>
        <w:ind w:firstLine="708"/>
        <w:jc w:val="both"/>
        <w:rPr>
          <w:rFonts w:ascii="Verdana" w:eastAsiaTheme="majorEastAsia" w:hAnsi="Verdana" w:cstheme="majorBidi"/>
          <w:i/>
          <w:spacing w:val="5"/>
          <w:kern w:val="28"/>
          <w:sz w:val="18"/>
          <w:szCs w:val="18"/>
        </w:rPr>
      </w:pPr>
      <w:proofErr w:type="spellStart"/>
      <w:r w:rsidRPr="002A17A2">
        <w:rPr>
          <w:rFonts w:ascii="Verdana" w:eastAsiaTheme="majorEastAsia" w:hAnsi="Verdana" w:cstheme="majorBidi"/>
          <w:i/>
          <w:spacing w:val="5"/>
          <w:kern w:val="28"/>
          <w:sz w:val="18"/>
          <w:szCs w:val="18"/>
        </w:rPr>
        <w:t>Ft</w:t>
      </w:r>
      <w:r w:rsidR="008B4CE8" w:rsidRPr="002A17A2">
        <w:rPr>
          <w:rFonts w:ascii="Verdana" w:eastAsiaTheme="majorEastAsia" w:hAnsi="Verdana" w:cstheme="majorBidi"/>
          <w:i/>
          <w:spacing w:val="5"/>
          <w:kern w:val="28"/>
          <w:sz w:val="18"/>
          <w:szCs w:val="18"/>
        </w:rPr>
        <w:t>e</w:t>
      </w:r>
      <w:proofErr w:type="spellEnd"/>
      <w:r w:rsidR="008B4CE8" w:rsidRPr="002A17A2">
        <w:rPr>
          <w:rFonts w:ascii="Verdana" w:eastAsiaTheme="majorEastAsia" w:hAnsi="Verdana" w:cstheme="majorBidi"/>
          <w:i/>
          <w:spacing w:val="5"/>
          <w:kern w:val="28"/>
          <w:sz w:val="18"/>
          <w:szCs w:val="18"/>
        </w:rPr>
        <w:t xml:space="preserve">: INE, Encuesta de Condiciones </w:t>
      </w:r>
      <w:r w:rsidRPr="002A17A2">
        <w:rPr>
          <w:rFonts w:ascii="Verdana" w:eastAsiaTheme="majorEastAsia" w:hAnsi="Verdana" w:cstheme="majorBidi"/>
          <w:i/>
          <w:spacing w:val="5"/>
          <w:kern w:val="28"/>
          <w:sz w:val="18"/>
          <w:szCs w:val="18"/>
        </w:rPr>
        <w:t>de Vida</w:t>
      </w:r>
    </w:p>
    <w:p w:rsidR="00A27844" w:rsidRDefault="00A27844" w:rsidP="005754A1">
      <w:pPr>
        <w:ind w:firstLine="708"/>
        <w:jc w:val="both"/>
        <w:rPr>
          <w:rFonts w:ascii="Verdana" w:eastAsiaTheme="majorEastAsia" w:hAnsi="Verdana" w:cstheme="majorBidi"/>
          <w:i/>
          <w:spacing w:val="5"/>
          <w:kern w:val="28"/>
          <w:sz w:val="18"/>
          <w:szCs w:val="18"/>
        </w:rPr>
      </w:pPr>
    </w:p>
    <w:p w:rsidR="00A27844" w:rsidRPr="00100A3D" w:rsidRDefault="00A27844" w:rsidP="00C26E3A">
      <w:pPr>
        <w:spacing w:line="360" w:lineRule="auto"/>
        <w:jc w:val="both"/>
        <w:rPr>
          <w:rFonts w:ascii="Verdana" w:eastAsiaTheme="majorEastAsia" w:hAnsi="Verdana" w:cstheme="majorBidi"/>
          <w:spacing w:val="5"/>
          <w:kern w:val="28"/>
        </w:rPr>
      </w:pPr>
    </w:p>
    <w:p w:rsidR="00A27844" w:rsidRPr="00100A3D" w:rsidRDefault="00BB6A88" w:rsidP="00100A3D">
      <w:pPr>
        <w:spacing w:line="360" w:lineRule="auto"/>
        <w:jc w:val="both"/>
        <w:rPr>
          <w:rFonts w:ascii="Verdana" w:eastAsiaTheme="majorEastAsia" w:hAnsi="Verdana" w:cstheme="majorBidi"/>
          <w:spacing w:val="5"/>
          <w:kern w:val="28"/>
        </w:rPr>
      </w:pPr>
      <w:r w:rsidRPr="00F05FD6">
        <w:rPr>
          <w:rFonts w:ascii="Verdana" w:eastAsiaTheme="majorEastAsia" w:hAnsi="Verdana" w:cstheme="majorBidi"/>
          <w:spacing w:val="5"/>
          <w:kern w:val="28"/>
        </w:rPr>
        <w:t>Analizando la pobreza infantil a</w:t>
      </w:r>
      <w:r w:rsidR="00E35BDD" w:rsidRPr="00F05FD6">
        <w:rPr>
          <w:rFonts w:ascii="Verdana" w:eastAsiaTheme="majorEastAsia" w:hAnsi="Verdana" w:cstheme="majorBidi"/>
          <w:spacing w:val="5"/>
          <w:kern w:val="28"/>
        </w:rPr>
        <w:t xml:space="preserve"> </w:t>
      </w:r>
      <w:r w:rsidRPr="00F05FD6">
        <w:rPr>
          <w:rFonts w:ascii="Verdana" w:eastAsiaTheme="majorEastAsia" w:hAnsi="Verdana" w:cstheme="majorBidi"/>
          <w:spacing w:val="5"/>
          <w:kern w:val="28"/>
        </w:rPr>
        <w:t>nivel</w:t>
      </w:r>
      <w:r w:rsidR="00E35BDD" w:rsidRPr="00F05FD6">
        <w:rPr>
          <w:rFonts w:ascii="Verdana" w:eastAsiaTheme="majorEastAsia" w:hAnsi="Verdana" w:cstheme="majorBidi"/>
          <w:spacing w:val="5"/>
          <w:kern w:val="28"/>
        </w:rPr>
        <w:t xml:space="preserve"> municipal</w:t>
      </w:r>
      <w:r w:rsidRPr="00F05FD6">
        <w:rPr>
          <w:rFonts w:ascii="Verdana" w:eastAsiaTheme="majorEastAsia" w:hAnsi="Verdana" w:cstheme="majorBidi"/>
          <w:spacing w:val="5"/>
          <w:kern w:val="28"/>
        </w:rPr>
        <w:t>, de acuerdo con los datos elaborados por el Alto Comisionado contra la Pobreza Infantil,</w:t>
      </w:r>
      <w:r w:rsidR="00E35BDD" w:rsidRPr="00F05FD6">
        <w:rPr>
          <w:rFonts w:ascii="Verdana" w:eastAsiaTheme="majorEastAsia" w:hAnsi="Verdana" w:cstheme="majorBidi"/>
          <w:spacing w:val="5"/>
          <w:kern w:val="28"/>
        </w:rPr>
        <w:t xml:space="preserve"> en los principales municipios asturianos los datos oscilan entre Llanera con la tasa de pobreza infantil más baja (19,5%) hasta Avilés con la tasa más elevada (27,3%)</w:t>
      </w:r>
      <w:r w:rsidR="00100A3D" w:rsidRPr="00F05FD6">
        <w:rPr>
          <w:rFonts w:ascii="Verdana" w:eastAsiaTheme="majorEastAsia" w:hAnsi="Verdana" w:cstheme="majorBidi"/>
          <w:spacing w:val="5"/>
          <w:kern w:val="28"/>
        </w:rPr>
        <w:t>.</w:t>
      </w:r>
    </w:p>
    <w:p w:rsidR="00A27844" w:rsidRDefault="00A27844" w:rsidP="00C26E3A">
      <w:pPr>
        <w:jc w:val="both"/>
        <w:rPr>
          <w:rFonts w:ascii="Verdana" w:eastAsiaTheme="majorEastAsia" w:hAnsi="Verdana" w:cstheme="majorBidi"/>
          <w:i/>
          <w:spacing w:val="5"/>
          <w:kern w:val="28"/>
          <w:sz w:val="18"/>
          <w:szCs w:val="18"/>
        </w:rPr>
      </w:pPr>
    </w:p>
    <w:p w:rsidR="00A27844" w:rsidRPr="00E35BDD" w:rsidRDefault="00BC2AF2" w:rsidP="005754A1">
      <w:pPr>
        <w:ind w:firstLine="708"/>
        <w:jc w:val="both"/>
        <w:rPr>
          <w:rFonts w:ascii="Verdana" w:eastAsiaTheme="majorEastAsia" w:hAnsi="Verdana" w:cstheme="majorBidi"/>
          <w:spacing w:val="5"/>
          <w:kern w:val="28"/>
        </w:rPr>
      </w:pPr>
      <w:r w:rsidRPr="00E35BDD">
        <w:rPr>
          <w:rFonts w:ascii="Verdana" w:eastAsiaTheme="majorEastAsia" w:hAnsi="Verdana" w:cstheme="majorBidi"/>
          <w:spacing w:val="5"/>
          <w:kern w:val="28"/>
        </w:rPr>
        <w:t>Pobreza infantil en los principales municipios asturianos</w:t>
      </w:r>
    </w:p>
    <w:tbl>
      <w:tblPr>
        <w:tblStyle w:val="Listaclara-nfasis4"/>
        <w:tblW w:w="0" w:type="auto"/>
        <w:jc w:val="center"/>
        <w:tblLook w:val="04A0"/>
      </w:tblPr>
      <w:tblGrid>
        <w:gridCol w:w="1728"/>
        <w:gridCol w:w="1406"/>
      </w:tblGrid>
      <w:tr w:rsidR="00BC2AF2" w:rsidRPr="00BC2AF2" w:rsidTr="00BC2AF2">
        <w:trPr>
          <w:cnfStyle w:val="100000000000"/>
          <w:jc w:val="center"/>
        </w:trPr>
        <w:tc>
          <w:tcPr>
            <w:cnfStyle w:val="001000000000"/>
            <w:tcW w:w="1728" w:type="dxa"/>
          </w:tcPr>
          <w:p w:rsidR="00BC2AF2" w:rsidRPr="00BC2AF2" w:rsidRDefault="00BC2AF2" w:rsidP="005754A1">
            <w:pPr>
              <w:jc w:val="both"/>
              <w:rPr>
                <w:rFonts w:ascii="Verdana" w:eastAsiaTheme="majorEastAsia" w:hAnsi="Verdana" w:cstheme="majorBidi"/>
                <w:spacing w:val="5"/>
                <w:kern w:val="28"/>
              </w:rPr>
            </w:pPr>
          </w:p>
        </w:tc>
        <w:tc>
          <w:tcPr>
            <w:tcW w:w="1406" w:type="dxa"/>
          </w:tcPr>
          <w:p w:rsidR="00BC2AF2" w:rsidRPr="00BC2AF2" w:rsidRDefault="00BC2AF2" w:rsidP="00E35BDD">
            <w:pPr>
              <w:jc w:val="center"/>
              <w:cnfStyle w:val="100000000000"/>
              <w:rPr>
                <w:rFonts w:ascii="Verdana" w:eastAsiaTheme="majorEastAsia" w:hAnsi="Verdana" w:cstheme="majorBidi"/>
                <w:spacing w:val="5"/>
                <w:kern w:val="28"/>
              </w:rPr>
            </w:pPr>
          </w:p>
        </w:tc>
      </w:tr>
      <w:tr w:rsidR="00BC2AF2" w:rsidRPr="00BC2AF2" w:rsidTr="00BC2AF2">
        <w:trPr>
          <w:cnfStyle w:val="000000100000"/>
          <w:jc w:val="center"/>
        </w:trPr>
        <w:tc>
          <w:tcPr>
            <w:cnfStyle w:val="001000000000"/>
            <w:tcW w:w="1728" w:type="dxa"/>
          </w:tcPr>
          <w:p w:rsidR="00BC2AF2" w:rsidRPr="00BC2AF2" w:rsidRDefault="00BC2AF2" w:rsidP="005754A1">
            <w:pPr>
              <w:jc w:val="both"/>
              <w:rPr>
                <w:rFonts w:ascii="Verdana" w:eastAsiaTheme="majorEastAsia" w:hAnsi="Verdana" w:cstheme="majorBidi"/>
                <w:spacing w:val="5"/>
                <w:kern w:val="28"/>
              </w:rPr>
            </w:pPr>
            <w:r w:rsidRPr="00BC2AF2">
              <w:rPr>
                <w:rFonts w:ascii="Verdana" w:eastAsiaTheme="majorEastAsia" w:hAnsi="Verdana" w:cstheme="majorBidi"/>
                <w:spacing w:val="5"/>
                <w:kern w:val="28"/>
              </w:rPr>
              <w:t>Avilés</w:t>
            </w:r>
          </w:p>
        </w:tc>
        <w:tc>
          <w:tcPr>
            <w:tcW w:w="1406" w:type="dxa"/>
          </w:tcPr>
          <w:p w:rsidR="00BC2AF2" w:rsidRPr="00BC2AF2" w:rsidRDefault="00BC2AF2" w:rsidP="00E35BDD">
            <w:pPr>
              <w:jc w:val="center"/>
              <w:cnfStyle w:val="000000100000"/>
              <w:rPr>
                <w:rFonts w:ascii="Verdana" w:eastAsiaTheme="majorEastAsia" w:hAnsi="Verdana" w:cstheme="majorBidi"/>
                <w:spacing w:val="5"/>
                <w:kern w:val="28"/>
              </w:rPr>
            </w:pPr>
            <w:r w:rsidRPr="00BC2AF2">
              <w:rPr>
                <w:rFonts w:ascii="Verdana" w:eastAsiaTheme="majorEastAsia" w:hAnsi="Verdana" w:cstheme="majorBidi"/>
                <w:spacing w:val="5"/>
                <w:kern w:val="28"/>
              </w:rPr>
              <w:t>27,3</w:t>
            </w:r>
          </w:p>
        </w:tc>
      </w:tr>
      <w:tr w:rsidR="00BC2AF2" w:rsidRPr="00BC2AF2" w:rsidTr="00BC2AF2">
        <w:trPr>
          <w:jc w:val="center"/>
        </w:trPr>
        <w:tc>
          <w:tcPr>
            <w:cnfStyle w:val="001000000000"/>
            <w:tcW w:w="1728" w:type="dxa"/>
          </w:tcPr>
          <w:p w:rsidR="00BC2AF2" w:rsidRPr="00BC2AF2" w:rsidRDefault="00BC2AF2" w:rsidP="005754A1">
            <w:pPr>
              <w:jc w:val="both"/>
              <w:rPr>
                <w:rFonts w:ascii="Verdana" w:eastAsiaTheme="majorEastAsia" w:hAnsi="Verdana" w:cstheme="majorBidi"/>
                <w:spacing w:val="5"/>
                <w:kern w:val="28"/>
              </w:rPr>
            </w:pPr>
            <w:r w:rsidRPr="00BC2AF2">
              <w:rPr>
                <w:rFonts w:ascii="Verdana" w:eastAsiaTheme="majorEastAsia" w:hAnsi="Verdana" w:cstheme="majorBidi"/>
                <w:spacing w:val="5"/>
                <w:kern w:val="28"/>
              </w:rPr>
              <w:t>Gijón</w:t>
            </w:r>
          </w:p>
        </w:tc>
        <w:tc>
          <w:tcPr>
            <w:tcW w:w="1406" w:type="dxa"/>
          </w:tcPr>
          <w:p w:rsidR="00BC2AF2" w:rsidRPr="00BC2AF2" w:rsidRDefault="00BC2AF2" w:rsidP="00E35BDD">
            <w:pPr>
              <w:jc w:val="center"/>
              <w:cnfStyle w:val="000000000000"/>
              <w:rPr>
                <w:rFonts w:ascii="Verdana" w:eastAsiaTheme="majorEastAsia" w:hAnsi="Verdana" w:cstheme="majorBidi"/>
                <w:spacing w:val="5"/>
                <w:kern w:val="28"/>
              </w:rPr>
            </w:pPr>
            <w:r w:rsidRPr="00BC2AF2">
              <w:rPr>
                <w:rFonts w:ascii="Verdana" w:eastAsiaTheme="majorEastAsia" w:hAnsi="Verdana" w:cstheme="majorBidi"/>
                <w:spacing w:val="5"/>
                <w:kern w:val="28"/>
              </w:rPr>
              <w:t>25,0</w:t>
            </w:r>
          </w:p>
        </w:tc>
      </w:tr>
      <w:tr w:rsidR="00BC2AF2" w:rsidRPr="00BC2AF2" w:rsidTr="00BC2AF2">
        <w:trPr>
          <w:cnfStyle w:val="000000100000"/>
          <w:jc w:val="center"/>
        </w:trPr>
        <w:tc>
          <w:tcPr>
            <w:cnfStyle w:val="001000000000"/>
            <w:tcW w:w="1728" w:type="dxa"/>
          </w:tcPr>
          <w:p w:rsidR="00BC2AF2" w:rsidRPr="00BC2AF2" w:rsidRDefault="00BC2AF2" w:rsidP="005754A1">
            <w:pPr>
              <w:jc w:val="both"/>
              <w:rPr>
                <w:rFonts w:ascii="Verdana" w:eastAsiaTheme="majorEastAsia" w:hAnsi="Verdana" w:cstheme="majorBidi"/>
                <w:spacing w:val="5"/>
                <w:kern w:val="28"/>
              </w:rPr>
            </w:pPr>
            <w:r w:rsidRPr="00BC2AF2">
              <w:rPr>
                <w:rFonts w:ascii="Verdana" w:eastAsiaTheme="majorEastAsia" w:hAnsi="Verdana" w:cstheme="majorBidi"/>
                <w:spacing w:val="5"/>
                <w:kern w:val="28"/>
              </w:rPr>
              <w:t>Oviedo</w:t>
            </w:r>
          </w:p>
        </w:tc>
        <w:tc>
          <w:tcPr>
            <w:tcW w:w="1406" w:type="dxa"/>
          </w:tcPr>
          <w:p w:rsidR="00BC2AF2" w:rsidRPr="00BC2AF2" w:rsidRDefault="00BC2AF2" w:rsidP="00E35BDD">
            <w:pPr>
              <w:jc w:val="center"/>
              <w:cnfStyle w:val="000000100000"/>
              <w:rPr>
                <w:rFonts w:ascii="Verdana" w:eastAsiaTheme="majorEastAsia" w:hAnsi="Verdana" w:cstheme="majorBidi"/>
                <w:spacing w:val="5"/>
                <w:kern w:val="28"/>
              </w:rPr>
            </w:pPr>
            <w:r w:rsidRPr="00BC2AF2">
              <w:rPr>
                <w:rFonts w:ascii="Verdana" w:eastAsiaTheme="majorEastAsia" w:hAnsi="Verdana" w:cstheme="majorBidi"/>
                <w:spacing w:val="5"/>
                <w:kern w:val="28"/>
              </w:rPr>
              <w:t>25,5</w:t>
            </w:r>
          </w:p>
        </w:tc>
      </w:tr>
      <w:tr w:rsidR="00BC2AF2" w:rsidRPr="00BC2AF2" w:rsidTr="00BC2AF2">
        <w:trPr>
          <w:jc w:val="center"/>
        </w:trPr>
        <w:tc>
          <w:tcPr>
            <w:cnfStyle w:val="001000000000"/>
            <w:tcW w:w="1728" w:type="dxa"/>
          </w:tcPr>
          <w:p w:rsidR="00BC2AF2" w:rsidRPr="00BC2AF2" w:rsidRDefault="00BC2AF2" w:rsidP="005754A1">
            <w:pPr>
              <w:jc w:val="both"/>
              <w:rPr>
                <w:rFonts w:ascii="Verdana" w:eastAsiaTheme="majorEastAsia" w:hAnsi="Verdana" w:cstheme="majorBidi"/>
                <w:spacing w:val="5"/>
                <w:kern w:val="28"/>
              </w:rPr>
            </w:pPr>
            <w:proofErr w:type="spellStart"/>
            <w:r w:rsidRPr="00BC2AF2">
              <w:rPr>
                <w:rFonts w:ascii="Verdana" w:eastAsiaTheme="majorEastAsia" w:hAnsi="Verdana" w:cstheme="majorBidi"/>
                <w:spacing w:val="5"/>
                <w:kern w:val="28"/>
              </w:rPr>
              <w:t>Siero</w:t>
            </w:r>
            <w:proofErr w:type="spellEnd"/>
          </w:p>
        </w:tc>
        <w:tc>
          <w:tcPr>
            <w:tcW w:w="1406" w:type="dxa"/>
          </w:tcPr>
          <w:p w:rsidR="00BC2AF2" w:rsidRPr="00BC2AF2" w:rsidRDefault="00BC2AF2" w:rsidP="00E35BDD">
            <w:pPr>
              <w:jc w:val="center"/>
              <w:cnfStyle w:val="000000000000"/>
              <w:rPr>
                <w:rFonts w:ascii="Verdana" w:eastAsiaTheme="majorEastAsia" w:hAnsi="Verdana" w:cstheme="majorBidi"/>
                <w:spacing w:val="5"/>
                <w:kern w:val="28"/>
              </w:rPr>
            </w:pPr>
            <w:r w:rsidRPr="00BC2AF2">
              <w:rPr>
                <w:rFonts w:ascii="Verdana" w:eastAsiaTheme="majorEastAsia" w:hAnsi="Verdana" w:cstheme="majorBidi"/>
                <w:spacing w:val="5"/>
                <w:kern w:val="28"/>
              </w:rPr>
              <w:t>23,1</w:t>
            </w:r>
          </w:p>
        </w:tc>
      </w:tr>
      <w:tr w:rsidR="00BC2AF2" w:rsidRPr="00BC2AF2" w:rsidTr="00BC2AF2">
        <w:trPr>
          <w:cnfStyle w:val="000000100000"/>
          <w:jc w:val="center"/>
        </w:trPr>
        <w:tc>
          <w:tcPr>
            <w:cnfStyle w:val="001000000000"/>
            <w:tcW w:w="1728" w:type="dxa"/>
          </w:tcPr>
          <w:p w:rsidR="00BC2AF2" w:rsidRPr="00BC2AF2" w:rsidRDefault="00BC2AF2" w:rsidP="005754A1">
            <w:pPr>
              <w:jc w:val="both"/>
              <w:rPr>
                <w:rFonts w:ascii="Verdana" w:eastAsiaTheme="majorEastAsia" w:hAnsi="Verdana" w:cstheme="majorBidi"/>
                <w:spacing w:val="5"/>
                <w:kern w:val="28"/>
              </w:rPr>
            </w:pPr>
            <w:r w:rsidRPr="00BC2AF2">
              <w:rPr>
                <w:rFonts w:ascii="Verdana" w:eastAsiaTheme="majorEastAsia" w:hAnsi="Verdana" w:cstheme="majorBidi"/>
                <w:spacing w:val="5"/>
                <w:kern w:val="28"/>
              </w:rPr>
              <w:t>Llanera</w:t>
            </w:r>
          </w:p>
        </w:tc>
        <w:tc>
          <w:tcPr>
            <w:tcW w:w="1406" w:type="dxa"/>
          </w:tcPr>
          <w:p w:rsidR="00BC2AF2" w:rsidRPr="00BC2AF2" w:rsidRDefault="00BC2AF2" w:rsidP="00E35BDD">
            <w:pPr>
              <w:jc w:val="center"/>
              <w:cnfStyle w:val="000000100000"/>
              <w:rPr>
                <w:rFonts w:ascii="Verdana" w:eastAsiaTheme="majorEastAsia" w:hAnsi="Verdana" w:cstheme="majorBidi"/>
                <w:spacing w:val="5"/>
                <w:kern w:val="28"/>
              </w:rPr>
            </w:pPr>
            <w:r w:rsidRPr="00BC2AF2">
              <w:rPr>
                <w:rFonts w:ascii="Verdana" w:eastAsiaTheme="majorEastAsia" w:hAnsi="Verdana" w:cstheme="majorBidi"/>
                <w:spacing w:val="5"/>
                <w:kern w:val="28"/>
              </w:rPr>
              <w:t>19,5</w:t>
            </w:r>
          </w:p>
        </w:tc>
      </w:tr>
    </w:tbl>
    <w:p w:rsidR="00A27844" w:rsidRDefault="00BC2AF2" w:rsidP="00BC2AF2">
      <w:pPr>
        <w:ind w:left="1416" w:firstLine="708"/>
        <w:jc w:val="both"/>
        <w:rPr>
          <w:rFonts w:ascii="Verdana" w:eastAsiaTheme="majorEastAsia" w:hAnsi="Verdana" w:cstheme="majorBidi"/>
          <w:i/>
          <w:spacing w:val="5"/>
          <w:kern w:val="28"/>
          <w:sz w:val="18"/>
          <w:szCs w:val="18"/>
        </w:rPr>
      </w:pPr>
      <w:proofErr w:type="spellStart"/>
      <w:r>
        <w:rPr>
          <w:rFonts w:ascii="Verdana" w:eastAsiaTheme="majorEastAsia" w:hAnsi="Verdana" w:cstheme="majorBidi"/>
          <w:i/>
          <w:spacing w:val="5"/>
          <w:kern w:val="28"/>
          <w:sz w:val="18"/>
          <w:szCs w:val="18"/>
        </w:rPr>
        <w:t>Fte</w:t>
      </w:r>
      <w:proofErr w:type="spellEnd"/>
      <w:r>
        <w:rPr>
          <w:rFonts w:ascii="Verdana" w:eastAsiaTheme="majorEastAsia" w:hAnsi="Verdana" w:cstheme="majorBidi"/>
          <w:i/>
          <w:spacing w:val="5"/>
          <w:kern w:val="28"/>
          <w:sz w:val="18"/>
          <w:szCs w:val="18"/>
        </w:rPr>
        <w:t>: Alto Comisionado contra la Pobreza Infantil</w:t>
      </w:r>
    </w:p>
    <w:p w:rsidR="00A27844" w:rsidRDefault="00A27844" w:rsidP="005754A1">
      <w:pPr>
        <w:ind w:firstLine="708"/>
        <w:jc w:val="both"/>
        <w:rPr>
          <w:rFonts w:ascii="Verdana" w:eastAsiaTheme="majorEastAsia" w:hAnsi="Verdana" w:cstheme="majorBidi"/>
          <w:i/>
          <w:spacing w:val="5"/>
          <w:kern w:val="28"/>
          <w:sz w:val="18"/>
          <w:szCs w:val="18"/>
        </w:rPr>
      </w:pPr>
    </w:p>
    <w:p w:rsidR="00A27844" w:rsidRDefault="00A27844" w:rsidP="005754A1">
      <w:pPr>
        <w:ind w:firstLine="708"/>
        <w:jc w:val="both"/>
        <w:rPr>
          <w:rFonts w:ascii="Verdana" w:eastAsiaTheme="majorEastAsia" w:hAnsi="Verdana" w:cstheme="majorBidi"/>
          <w:i/>
          <w:spacing w:val="5"/>
          <w:kern w:val="28"/>
          <w:sz w:val="18"/>
          <w:szCs w:val="18"/>
        </w:rPr>
      </w:pPr>
    </w:p>
    <w:p w:rsidR="00CF69EF" w:rsidRDefault="00CF69EF" w:rsidP="003C4E32">
      <w:pPr>
        <w:jc w:val="both"/>
        <w:rPr>
          <w:rFonts w:ascii="Verdana" w:hAnsi="Verdana"/>
          <w:b/>
          <w:color w:val="7030A0"/>
        </w:rPr>
      </w:pPr>
    </w:p>
    <w:p w:rsidR="003C4E32" w:rsidRPr="00DC25CF" w:rsidRDefault="003C4E32" w:rsidP="0078504D">
      <w:pPr>
        <w:pStyle w:val="Prrafodelista"/>
        <w:numPr>
          <w:ilvl w:val="0"/>
          <w:numId w:val="17"/>
        </w:numPr>
        <w:jc w:val="both"/>
        <w:rPr>
          <w:rFonts w:ascii="Verdana" w:hAnsi="Verdana"/>
          <w:b/>
          <w:caps/>
          <w:color w:val="7030A0"/>
        </w:rPr>
      </w:pPr>
      <w:r w:rsidRPr="00DC25CF">
        <w:rPr>
          <w:rFonts w:ascii="Verdana" w:hAnsi="Verdana"/>
          <w:b/>
          <w:caps/>
          <w:color w:val="7030A0"/>
        </w:rPr>
        <w:t>Carencia material de los hogares</w:t>
      </w:r>
    </w:p>
    <w:p w:rsidR="0078504D" w:rsidRPr="00DC25CF" w:rsidRDefault="0078504D" w:rsidP="0078504D">
      <w:pPr>
        <w:pStyle w:val="Prrafodelista"/>
        <w:jc w:val="both"/>
        <w:rPr>
          <w:rFonts w:ascii="Verdana" w:hAnsi="Verdana"/>
          <w:b/>
          <w:caps/>
          <w:color w:val="7030A0"/>
        </w:rPr>
      </w:pPr>
    </w:p>
    <w:p w:rsidR="00CF69EF" w:rsidRDefault="000A7C28" w:rsidP="003C4E32">
      <w:pPr>
        <w:spacing w:line="360" w:lineRule="auto"/>
        <w:jc w:val="both"/>
        <w:rPr>
          <w:rFonts w:ascii="Verdana" w:hAnsi="Verdana"/>
        </w:rPr>
      </w:pPr>
      <w:r w:rsidRPr="00DC25CF">
        <w:rPr>
          <w:rFonts w:ascii="Verdana" w:hAnsi="Verdana"/>
        </w:rPr>
        <w:t xml:space="preserve">En este apartado se analiza la </w:t>
      </w:r>
      <w:r w:rsidR="006A2252" w:rsidRPr="00DC25CF">
        <w:rPr>
          <w:rFonts w:ascii="Verdana" w:hAnsi="Verdana"/>
        </w:rPr>
        <w:t>carencia</w:t>
      </w:r>
      <w:r w:rsidRPr="00DC25CF">
        <w:rPr>
          <w:rFonts w:ascii="Verdana" w:hAnsi="Verdana"/>
        </w:rPr>
        <w:t xml:space="preserve"> material </w:t>
      </w:r>
      <w:r w:rsidR="006A2252" w:rsidRPr="00DC25CF">
        <w:rPr>
          <w:rFonts w:ascii="Verdana" w:hAnsi="Verdana"/>
        </w:rPr>
        <w:t>de los hogares</w:t>
      </w:r>
      <w:r w:rsidRPr="00DC25CF">
        <w:rPr>
          <w:rFonts w:ascii="Verdana" w:hAnsi="Verdana"/>
        </w:rPr>
        <w:t xml:space="preserve">, que se define como aquellos hogares </w:t>
      </w:r>
      <w:r w:rsidR="003C4E32" w:rsidRPr="00DC25CF">
        <w:rPr>
          <w:rFonts w:ascii="Verdana" w:hAnsi="Verdana"/>
        </w:rPr>
        <w:t xml:space="preserve">que no pueden permitirse una serie de conceptos de una lista. </w:t>
      </w:r>
      <w:r w:rsidR="00CF69EF">
        <w:rPr>
          <w:rFonts w:ascii="Verdana" w:hAnsi="Verdana"/>
        </w:rPr>
        <w:t>En concreto se considera que en un hogar existe carencia material severa cuando tiene carencia en al menos cuatro elementos en una lista de nueve.</w:t>
      </w:r>
    </w:p>
    <w:p w:rsidR="003C4E32" w:rsidRPr="00DC25CF" w:rsidRDefault="003C4E32" w:rsidP="003C4E32">
      <w:pPr>
        <w:spacing w:line="360" w:lineRule="auto"/>
        <w:jc w:val="both"/>
        <w:rPr>
          <w:rFonts w:ascii="Verdana" w:hAnsi="Verdana"/>
        </w:rPr>
      </w:pPr>
      <w:r w:rsidRPr="00DC25CF">
        <w:rPr>
          <w:rFonts w:ascii="Verdana" w:hAnsi="Verdana"/>
        </w:rPr>
        <w:t xml:space="preserve">En el caso de Asturias se ha producido un empeoramiento de los hogares en </w:t>
      </w:r>
      <w:r w:rsidR="007B3BCE">
        <w:rPr>
          <w:rFonts w:ascii="Verdana" w:hAnsi="Verdana"/>
        </w:rPr>
        <w:t>dichos</w:t>
      </w:r>
      <w:r w:rsidRPr="00DC25CF">
        <w:rPr>
          <w:rFonts w:ascii="Verdana" w:hAnsi="Verdana"/>
        </w:rPr>
        <w:t xml:space="preserve"> </w:t>
      </w:r>
      <w:r w:rsidR="006567CE">
        <w:rPr>
          <w:rFonts w:ascii="Verdana" w:hAnsi="Verdana"/>
        </w:rPr>
        <w:t>conceptos</w:t>
      </w:r>
      <w:r w:rsidRPr="00DC25CF">
        <w:rPr>
          <w:rFonts w:ascii="Verdana" w:hAnsi="Verdana"/>
        </w:rPr>
        <w:t xml:space="preserve">, especialmente en </w:t>
      </w:r>
      <w:r w:rsidR="0078054C" w:rsidRPr="00DC25CF">
        <w:rPr>
          <w:rFonts w:ascii="Verdana" w:hAnsi="Verdana"/>
        </w:rPr>
        <w:t>aquellos</w:t>
      </w:r>
      <w:r w:rsidRPr="00DC25CF">
        <w:rPr>
          <w:rFonts w:ascii="Verdana" w:hAnsi="Verdana"/>
        </w:rPr>
        <w:t xml:space="preserve"> hogares asturianos </w:t>
      </w:r>
      <w:r w:rsidR="0078054C" w:rsidRPr="00DC25CF">
        <w:rPr>
          <w:rFonts w:ascii="Verdana" w:hAnsi="Verdana"/>
        </w:rPr>
        <w:t xml:space="preserve">que </w:t>
      </w:r>
      <w:r w:rsidRPr="00DC25CF">
        <w:rPr>
          <w:rFonts w:ascii="Verdana" w:hAnsi="Verdana"/>
        </w:rPr>
        <w:t>no puede</w:t>
      </w:r>
      <w:r w:rsidR="0078054C" w:rsidRPr="00DC25CF">
        <w:rPr>
          <w:rFonts w:ascii="Verdana" w:hAnsi="Verdana"/>
        </w:rPr>
        <w:t>n</w:t>
      </w:r>
      <w:r w:rsidRPr="00DC25CF">
        <w:rPr>
          <w:rFonts w:ascii="Verdana" w:hAnsi="Verdana"/>
        </w:rPr>
        <w:t xml:space="preserve"> mantener su viv</w:t>
      </w:r>
      <w:r w:rsidR="0078054C" w:rsidRPr="00DC25CF">
        <w:rPr>
          <w:rFonts w:ascii="Verdana" w:hAnsi="Verdana"/>
        </w:rPr>
        <w:t>ienda a la temperatura adecuada y los hogares que no tienen capacidad para afrontar gastos imprevistos.</w:t>
      </w:r>
    </w:p>
    <w:p w:rsidR="003C4E32" w:rsidRPr="00DC25CF" w:rsidRDefault="003C4E32" w:rsidP="003C4E32">
      <w:pPr>
        <w:pStyle w:val="Prrafodelista"/>
        <w:numPr>
          <w:ilvl w:val="0"/>
          <w:numId w:val="3"/>
        </w:numPr>
        <w:spacing w:line="360" w:lineRule="auto"/>
        <w:jc w:val="both"/>
        <w:rPr>
          <w:rFonts w:ascii="Verdana" w:hAnsi="Verdana"/>
        </w:rPr>
      </w:pPr>
      <w:r w:rsidRPr="00DC25CF">
        <w:rPr>
          <w:rFonts w:ascii="Verdana" w:hAnsi="Verdana"/>
        </w:rPr>
        <w:t xml:space="preserve">El </w:t>
      </w:r>
      <w:r w:rsidR="0078054C" w:rsidRPr="00DC25CF">
        <w:rPr>
          <w:rFonts w:ascii="Verdana" w:hAnsi="Verdana"/>
          <w:b/>
          <w:color w:val="7030A0"/>
        </w:rPr>
        <w:t>31,4</w:t>
      </w:r>
      <w:r w:rsidRPr="00DC25CF">
        <w:rPr>
          <w:rFonts w:ascii="Verdana" w:hAnsi="Verdana"/>
          <w:b/>
          <w:color w:val="7030A0"/>
        </w:rPr>
        <w:t>% de los hogares</w:t>
      </w:r>
      <w:r w:rsidRPr="00DC25CF">
        <w:rPr>
          <w:rFonts w:ascii="Verdana" w:hAnsi="Verdana"/>
        </w:rPr>
        <w:t xml:space="preserve"> asturianos </w:t>
      </w:r>
      <w:r w:rsidRPr="00DC25CF">
        <w:rPr>
          <w:rFonts w:ascii="Verdana" w:hAnsi="Verdana"/>
          <w:b/>
          <w:color w:val="7030A0"/>
        </w:rPr>
        <w:t>no puede permitirse</w:t>
      </w:r>
      <w:r w:rsidRPr="00DC25CF">
        <w:rPr>
          <w:rFonts w:ascii="Verdana" w:hAnsi="Verdana"/>
        </w:rPr>
        <w:t xml:space="preserve"> ir de </w:t>
      </w:r>
      <w:r w:rsidRPr="00DC25CF">
        <w:rPr>
          <w:rFonts w:ascii="Verdana" w:hAnsi="Verdana"/>
          <w:b/>
          <w:color w:val="7030A0"/>
        </w:rPr>
        <w:t>vacaciones al menos una semana al año</w:t>
      </w:r>
      <w:r w:rsidRPr="00DC25CF">
        <w:rPr>
          <w:rFonts w:ascii="Verdana" w:hAnsi="Verdana"/>
        </w:rPr>
        <w:t xml:space="preserve">, </w:t>
      </w:r>
      <w:r w:rsidR="0078054C" w:rsidRPr="00DC25CF">
        <w:rPr>
          <w:rFonts w:ascii="Verdana" w:hAnsi="Verdana"/>
        </w:rPr>
        <w:t>se mantiene en el mismo valor que en 2010</w:t>
      </w:r>
      <w:r w:rsidRPr="00DC25CF">
        <w:rPr>
          <w:rFonts w:ascii="Verdana" w:hAnsi="Verdana"/>
        </w:rPr>
        <w:t>.</w:t>
      </w:r>
    </w:p>
    <w:p w:rsidR="003C4E32" w:rsidRPr="00F05FD6" w:rsidRDefault="003C4E32" w:rsidP="003C4E32">
      <w:pPr>
        <w:pStyle w:val="Prrafodelista"/>
        <w:spacing w:line="360" w:lineRule="auto"/>
        <w:jc w:val="both"/>
        <w:rPr>
          <w:rFonts w:ascii="Verdana" w:hAnsi="Verdana"/>
          <w:highlight w:val="yellow"/>
        </w:rPr>
      </w:pPr>
    </w:p>
    <w:p w:rsidR="003C4E32" w:rsidRPr="00881FD1" w:rsidRDefault="009655D4" w:rsidP="00D516DF">
      <w:pPr>
        <w:pStyle w:val="Prrafodelista"/>
        <w:numPr>
          <w:ilvl w:val="0"/>
          <w:numId w:val="3"/>
        </w:numPr>
        <w:spacing w:line="360" w:lineRule="auto"/>
        <w:jc w:val="both"/>
        <w:rPr>
          <w:rFonts w:ascii="Verdana" w:hAnsi="Verdana"/>
        </w:rPr>
      </w:pPr>
      <w:r w:rsidRPr="00881FD1">
        <w:rPr>
          <w:rFonts w:ascii="Verdana" w:hAnsi="Verdana"/>
        </w:rPr>
        <w:t xml:space="preserve">El </w:t>
      </w:r>
      <w:r w:rsidR="00881FD1" w:rsidRPr="00881FD1">
        <w:rPr>
          <w:rFonts w:ascii="Verdana" w:hAnsi="Verdana"/>
          <w:b/>
          <w:color w:val="7030A0"/>
        </w:rPr>
        <w:t>2,9</w:t>
      </w:r>
      <w:r w:rsidRPr="00881FD1">
        <w:rPr>
          <w:rFonts w:ascii="Verdana" w:hAnsi="Verdana"/>
          <w:b/>
          <w:color w:val="7030A0"/>
        </w:rPr>
        <w:t>%</w:t>
      </w:r>
      <w:r w:rsidRPr="00881FD1">
        <w:rPr>
          <w:rFonts w:ascii="Verdana" w:hAnsi="Verdana"/>
        </w:rPr>
        <w:t xml:space="preserve"> de los</w:t>
      </w:r>
      <w:r w:rsidR="003C4E32" w:rsidRPr="00881FD1">
        <w:rPr>
          <w:rFonts w:ascii="Verdana" w:hAnsi="Verdana"/>
          <w:b/>
          <w:color w:val="7030A0"/>
        </w:rPr>
        <w:t xml:space="preserve"> hogares </w:t>
      </w:r>
      <w:r w:rsidR="003C4E32" w:rsidRPr="00881FD1">
        <w:rPr>
          <w:rFonts w:ascii="Verdana" w:hAnsi="Verdana"/>
        </w:rPr>
        <w:t xml:space="preserve">asturianos </w:t>
      </w:r>
      <w:r w:rsidR="003C4E32" w:rsidRPr="00881FD1">
        <w:rPr>
          <w:rFonts w:ascii="Verdana" w:hAnsi="Verdana"/>
          <w:b/>
          <w:color w:val="7030A0"/>
        </w:rPr>
        <w:t>no puede permitirse una comida de carne o pescado cada dos días</w:t>
      </w:r>
      <w:r w:rsidR="003C4E32" w:rsidRPr="00881FD1">
        <w:rPr>
          <w:rFonts w:ascii="Verdana" w:hAnsi="Verdana"/>
        </w:rPr>
        <w:t xml:space="preserve"> (</w:t>
      </w:r>
      <w:r w:rsidR="00881FD1" w:rsidRPr="00881FD1">
        <w:rPr>
          <w:rFonts w:ascii="Verdana" w:hAnsi="Verdana"/>
        </w:rPr>
        <w:t>1,5 puntos porcentuales más que en 2010</w:t>
      </w:r>
      <w:r w:rsidR="003C4E32" w:rsidRPr="00881FD1">
        <w:rPr>
          <w:rFonts w:ascii="Verdana" w:hAnsi="Verdana"/>
        </w:rPr>
        <w:t>).</w:t>
      </w:r>
    </w:p>
    <w:p w:rsidR="003C4E32" w:rsidRPr="00F05FD6" w:rsidRDefault="003C4E32" w:rsidP="003C4E32">
      <w:pPr>
        <w:pStyle w:val="Prrafodelista"/>
        <w:spacing w:line="360" w:lineRule="auto"/>
        <w:jc w:val="both"/>
        <w:rPr>
          <w:rFonts w:ascii="Verdana" w:hAnsi="Verdana"/>
          <w:highlight w:val="yellow"/>
        </w:rPr>
      </w:pPr>
    </w:p>
    <w:p w:rsidR="003C4E32" w:rsidRPr="0057058F" w:rsidRDefault="0057058F" w:rsidP="003C4E32">
      <w:pPr>
        <w:pStyle w:val="Prrafodelista"/>
        <w:numPr>
          <w:ilvl w:val="0"/>
          <w:numId w:val="3"/>
        </w:numPr>
        <w:spacing w:line="360" w:lineRule="auto"/>
        <w:jc w:val="both"/>
        <w:rPr>
          <w:rFonts w:ascii="Verdana" w:hAnsi="Verdana"/>
        </w:rPr>
      </w:pPr>
      <w:r>
        <w:rPr>
          <w:rFonts w:ascii="Verdana" w:hAnsi="Verdana"/>
        </w:rPr>
        <w:t xml:space="preserve">Uno de cada diez hogares </w:t>
      </w:r>
      <w:r w:rsidR="003C4E32" w:rsidRPr="0057058F">
        <w:rPr>
          <w:rFonts w:ascii="Verdana" w:hAnsi="Verdana"/>
        </w:rPr>
        <w:t xml:space="preserve">asturianos </w:t>
      </w:r>
      <w:r w:rsidR="003C4E32" w:rsidRPr="0057058F">
        <w:rPr>
          <w:rFonts w:ascii="Verdana" w:hAnsi="Verdana"/>
          <w:b/>
          <w:color w:val="7030A0"/>
        </w:rPr>
        <w:t>no puede mantener su vivienda a una temperatura adecuada</w:t>
      </w:r>
      <w:r w:rsidR="003C4E32" w:rsidRPr="0057058F">
        <w:rPr>
          <w:rFonts w:ascii="Verdana" w:hAnsi="Verdana"/>
        </w:rPr>
        <w:t xml:space="preserve">, cifra </w:t>
      </w:r>
      <w:r w:rsidR="00D80F64">
        <w:rPr>
          <w:rFonts w:ascii="Verdana" w:hAnsi="Verdana"/>
        </w:rPr>
        <w:t xml:space="preserve">que </w:t>
      </w:r>
      <w:r w:rsidRPr="0057058F">
        <w:rPr>
          <w:rFonts w:ascii="Verdana" w:hAnsi="Verdana"/>
        </w:rPr>
        <w:t>aumenta en 4,5 puntos porcentuales en los últimos diez años</w:t>
      </w:r>
      <w:r w:rsidR="003C4E32" w:rsidRPr="0057058F">
        <w:rPr>
          <w:rFonts w:ascii="Verdana" w:hAnsi="Verdana"/>
        </w:rPr>
        <w:t>.</w:t>
      </w:r>
    </w:p>
    <w:p w:rsidR="003C4E32" w:rsidRPr="00F05FD6" w:rsidRDefault="003C4E32" w:rsidP="003C4E32">
      <w:pPr>
        <w:pStyle w:val="Prrafodelista"/>
        <w:spacing w:line="360" w:lineRule="auto"/>
        <w:jc w:val="both"/>
        <w:rPr>
          <w:rFonts w:ascii="Verdana" w:hAnsi="Verdana"/>
          <w:highlight w:val="yellow"/>
        </w:rPr>
      </w:pPr>
    </w:p>
    <w:p w:rsidR="003C4E32" w:rsidRPr="0057058F" w:rsidRDefault="003C4E32" w:rsidP="003C4E32">
      <w:pPr>
        <w:pStyle w:val="Prrafodelista"/>
        <w:numPr>
          <w:ilvl w:val="0"/>
          <w:numId w:val="3"/>
        </w:numPr>
        <w:spacing w:line="360" w:lineRule="auto"/>
        <w:jc w:val="both"/>
        <w:rPr>
          <w:rFonts w:ascii="Verdana" w:hAnsi="Verdana"/>
        </w:rPr>
      </w:pPr>
      <w:r w:rsidRPr="0057058F">
        <w:rPr>
          <w:rFonts w:ascii="Verdana" w:hAnsi="Verdana"/>
        </w:rPr>
        <w:t xml:space="preserve">Casi </w:t>
      </w:r>
      <w:r w:rsidR="0057058F" w:rsidRPr="0057058F">
        <w:rPr>
          <w:rFonts w:ascii="Verdana" w:hAnsi="Verdana"/>
          <w:b/>
          <w:color w:val="7030A0"/>
        </w:rPr>
        <w:t>3</w:t>
      </w:r>
      <w:r w:rsidRPr="0057058F">
        <w:rPr>
          <w:rFonts w:ascii="Verdana" w:hAnsi="Verdana"/>
          <w:b/>
          <w:color w:val="7030A0"/>
        </w:rPr>
        <w:t xml:space="preserve"> de cada </w:t>
      </w:r>
      <w:r w:rsidR="003865B1" w:rsidRPr="0057058F">
        <w:rPr>
          <w:rFonts w:ascii="Verdana" w:hAnsi="Verdana"/>
          <w:b/>
          <w:color w:val="7030A0"/>
        </w:rPr>
        <w:t>10</w:t>
      </w:r>
      <w:r w:rsidRPr="0057058F">
        <w:rPr>
          <w:rFonts w:ascii="Verdana" w:hAnsi="Verdana"/>
          <w:b/>
          <w:color w:val="7030A0"/>
        </w:rPr>
        <w:t xml:space="preserve"> hogares </w:t>
      </w:r>
      <w:r w:rsidRPr="0057058F">
        <w:rPr>
          <w:rFonts w:ascii="Verdana" w:hAnsi="Verdana"/>
        </w:rPr>
        <w:t xml:space="preserve">asturianos </w:t>
      </w:r>
      <w:r w:rsidRPr="0057058F">
        <w:rPr>
          <w:rFonts w:ascii="Verdana" w:hAnsi="Verdana"/>
          <w:b/>
          <w:color w:val="7030A0"/>
        </w:rPr>
        <w:t>no puede hacer frente a gastos imprevistos</w:t>
      </w:r>
      <w:r w:rsidR="0057058F" w:rsidRPr="0057058F">
        <w:rPr>
          <w:rFonts w:ascii="Verdana" w:hAnsi="Verdana"/>
        </w:rPr>
        <w:t xml:space="preserve"> (2</w:t>
      </w:r>
      <w:r w:rsidRPr="0057058F">
        <w:rPr>
          <w:rFonts w:ascii="Verdana" w:hAnsi="Verdana"/>
        </w:rPr>
        <w:t>8,5%), aumentando en 6 puntos porcentuales respecto a 20</w:t>
      </w:r>
      <w:r w:rsidR="0057058F" w:rsidRPr="0057058F">
        <w:rPr>
          <w:rFonts w:ascii="Verdana" w:hAnsi="Verdana"/>
        </w:rPr>
        <w:t>10</w:t>
      </w:r>
      <w:r w:rsidRPr="0057058F">
        <w:rPr>
          <w:rFonts w:ascii="Verdana" w:hAnsi="Verdana"/>
        </w:rPr>
        <w:t>.</w:t>
      </w:r>
    </w:p>
    <w:p w:rsidR="003C4E32" w:rsidRPr="00F05FD6" w:rsidRDefault="003C4E32" w:rsidP="003C4E32">
      <w:pPr>
        <w:jc w:val="both"/>
        <w:rPr>
          <w:rFonts w:ascii="Verdana" w:hAnsi="Verdana"/>
          <w:color w:val="FF0000"/>
          <w:highlight w:val="yellow"/>
        </w:rPr>
      </w:pPr>
    </w:p>
    <w:p w:rsidR="003C4E32" w:rsidRPr="00F05FD6" w:rsidRDefault="003C4E32" w:rsidP="00355B13">
      <w:pPr>
        <w:jc w:val="center"/>
        <w:rPr>
          <w:rFonts w:ascii="Verdana" w:hAnsi="Verdana"/>
          <w:color w:val="FF0000"/>
          <w:highlight w:val="yellow"/>
        </w:rPr>
      </w:pPr>
      <w:r w:rsidRPr="00635F11">
        <w:rPr>
          <w:rFonts w:ascii="Verdana" w:hAnsi="Verdana"/>
          <w:noProof/>
          <w:color w:val="FF0000"/>
          <w:lang w:eastAsia="es-ES"/>
        </w:rPr>
        <w:lastRenderedPageBreak/>
        <w:drawing>
          <wp:inline distT="0" distB="0" distL="0" distR="0">
            <wp:extent cx="5252432" cy="3985404"/>
            <wp:effectExtent l="19050" t="0" r="24418" b="0"/>
            <wp:docPr id="12"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C4E32" w:rsidRPr="00F05FD6" w:rsidRDefault="004D153D" w:rsidP="00355B13">
      <w:pPr>
        <w:jc w:val="center"/>
        <w:rPr>
          <w:rFonts w:ascii="Verdana" w:hAnsi="Verdana"/>
          <w:highlight w:val="yellow"/>
        </w:rPr>
      </w:pPr>
      <w:r w:rsidRPr="00635F11">
        <w:rPr>
          <w:rFonts w:ascii="Verdana" w:hAnsi="Verdana"/>
          <w:noProof/>
          <w:lang w:eastAsia="es-ES"/>
        </w:rPr>
        <w:drawing>
          <wp:inline distT="0" distB="0" distL="0" distR="0">
            <wp:extent cx="5393630" cy="3743864"/>
            <wp:effectExtent l="19050" t="0" r="16570" b="8986"/>
            <wp:docPr id="4"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E7217" w:rsidRPr="0078054C" w:rsidRDefault="000E7217" w:rsidP="000E7217">
      <w:pPr>
        <w:spacing w:after="0" w:line="240" w:lineRule="auto"/>
        <w:ind w:firstLine="709"/>
        <w:jc w:val="both"/>
        <w:rPr>
          <w:rFonts w:ascii="Verdana" w:eastAsiaTheme="majorEastAsia" w:hAnsi="Verdana" w:cstheme="majorBidi"/>
          <w:i/>
          <w:spacing w:val="5"/>
          <w:kern w:val="28"/>
          <w:sz w:val="18"/>
          <w:szCs w:val="18"/>
        </w:rPr>
      </w:pPr>
      <w:r w:rsidRPr="0078054C">
        <w:rPr>
          <w:rFonts w:ascii="Verdana" w:eastAsiaTheme="majorEastAsia" w:hAnsi="Verdana" w:cstheme="majorBidi"/>
          <w:i/>
          <w:spacing w:val="5"/>
          <w:kern w:val="28"/>
          <w:sz w:val="18"/>
          <w:szCs w:val="18"/>
        </w:rPr>
        <w:t>Unidad: porcentaje</w:t>
      </w:r>
    </w:p>
    <w:p w:rsidR="000E7217" w:rsidRPr="0078054C" w:rsidRDefault="000E7217" w:rsidP="000E7217">
      <w:pPr>
        <w:spacing w:after="0" w:line="240" w:lineRule="auto"/>
        <w:ind w:firstLine="709"/>
        <w:jc w:val="both"/>
        <w:rPr>
          <w:rFonts w:ascii="Verdana" w:eastAsiaTheme="majorEastAsia" w:hAnsi="Verdana" w:cstheme="majorBidi"/>
          <w:i/>
          <w:spacing w:val="5"/>
          <w:kern w:val="28"/>
          <w:sz w:val="18"/>
          <w:szCs w:val="18"/>
        </w:rPr>
      </w:pPr>
      <w:proofErr w:type="spellStart"/>
      <w:r w:rsidRPr="0078054C">
        <w:rPr>
          <w:rFonts w:ascii="Verdana" w:eastAsiaTheme="majorEastAsia" w:hAnsi="Verdana" w:cstheme="majorBidi"/>
          <w:i/>
          <w:spacing w:val="5"/>
          <w:kern w:val="28"/>
          <w:sz w:val="18"/>
          <w:szCs w:val="18"/>
        </w:rPr>
        <w:t>Fte</w:t>
      </w:r>
      <w:proofErr w:type="spellEnd"/>
      <w:r w:rsidRPr="0078054C">
        <w:rPr>
          <w:rFonts w:ascii="Verdana" w:eastAsiaTheme="majorEastAsia" w:hAnsi="Verdana" w:cstheme="majorBidi"/>
          <w:i/>
          <w:spacing w:val="5"/>
          <w:kern w:val="28"/>
          <w:sz w:val="18"/>
          <w:szCs w:val="18"/>
        </w:rPr>
        <w:t>: INE, Encuesta de Condiciones de Vida</w:t>
      </w:r>
    </w:p>
    <w:p w:rsidR="000E7217" w:rsidRPr="00F05FD6" w:rsidRDefault="000E7217" w:rsidP="000E7217">
      <w:pPr>
        <w:jc w:val="both"/>
        <w:rPr>
          <w:rFonts w:ascii="Verdana" w:hAnsi="Verdana"/>
          <w:highlight w:val="yellow"/>
        </w:rPr>
      </w:pPr>
    </w:p>
    <w:p w:rsidR="00DA5B4D" w:rsidRPr="00F05FD6" w:rsidRDefault="00DA5B4D" w:rsidP="003C4E32">
      <w:pPr>
        <w:jc w:val="both"/>
        <w:rPr>
          <w:rFonts w:ascii="Verdana" w:hAnsi="Verdana"/>
          <w:highlight w:val="yellow"/>
        </w:rPr>
      </w:pPr>
    </w:p>
    <w:p w:rsidR="0078504D" w:rsidRDefault="0078504D" w:rsidP="003C4E32">
      <w:pPr>
        <w:jc w:val="both"/>
        <w:rPr>
          <w:rFonts w:ascii="Verdana" w:hAnsi="Verdana"/>
          <w:b/>
          <w:color w:val="7030A0"/>
          <w:highlight w:val="yellow"/>
        </w:rPr>
      </w:pPr>
    </w:p>
    <w:p w:rsidR="00B913C7" w:rsidRPr="00D80F64" w:rsidRDefault="00165117" w:rsidP="00D80F64">
      <w:pPr>
        <w:jc w:val="both"/>
        <w:rPr>
          <w:rFonts w:ascii="Verdana" w:hAnsi="Verdana"/>
          <w:b/>
          <w:color w:val="7030A0"/>
        </w:rPr>
      </w:pPr>
      <w:r w:rsidRPr="001668FA">
        <w:rPr>
          <w:rFonts w:ascii="Verdana" w:hAnsi="Verdana"/>
          <w:b/>
          <w:color w:val="7030A0"/>
        </w:rPr>
        <w:t>3</w:t>
      </w:r>
      <w:r w:rsidR="00FD3AF5" w:rsidRPr="001668FA">
        <w:rPr>
          <w:rFonts w:ascii="Verdana" w:hAnsi="Verdana"/>
          <w:b/>
          <w:color w:val="7030A0"/>
        </w:rPr>
        <w:t>.</w:t>
      </w:r>
      <w:r w:rsidR="003C4E32" w:rsidRPr="001668FA">
        <w:rPr>
          <w:rFonts w:ascii="Verdana" w:hAnsi="Verdana"/>
          <w:b/>
          <w:color w:val="7030A0"/>
        </w:rPr>
        <w:t xml:space="preserve"> </w:t>
      </w:r>
      <w:r w:rsidR="003C4E32" w:rsidRPr="001668FA">
        <w:rPr>
          <w:rFonts w:ascii="Verdana" w:hAnsi="Verdana"/>
          <w:b/>
          <w:caps/>
          <w:color w:val="7030A0"/>
        </w:rPr>
        <w:t>Dificultad para llegar a fin de mes</w:t>
      </w:r>
    </w:p>
    <w:p w:rsidR="003C4E32" w:rsidRPr="001668FA" w:rsidRDefault="001668FA" w:rsidP="003C4E32">
      <w:pPr>
        <w:spacing w:line="360" w:lineRule="auto"/>
        <w:jc w:val="both"/>
        <w:rPr>
          <w:rFonts w:ascii="Verdana" w:hAnsi="Verdana"/>
          <w:noProof/>
          <w:lang w:eastAsia="es-ES"/>
        </w:rPr>
      </w:pPr>
      <w:r w:rsidRPr="001668FA">
        <w:rPr>
          <w:rFonts w:ascii="Verdana" w:hAnsi="Verdana"/>
          <w:noProof/>
          <w:lang w:eastAsia="es-ES"/>
        </w:rPr>
        <w:t xml:space="preserve">La caída de los ingresos de los hogares, provocado por </w:t>
      </w:r>
      <w:r w:rsidR="00D80F64">
        <w:rPr>
          <w:rFonts w:ascii="Verdana" w:hAnsi="Verdana"/>
          <w:noProof/>
          <w:lang w:eastAsia="es-ES"/>
        </w:rPr>
        <w:t xml:space="preserve">la fuerte devaluación salarial de los últimos años y </w:t>
      </w:r>
      <w:r w:rsidRPr="001668FA">
        <w:rPr>
          <w:rFonts w:ascii="Verdana" w:hAnsi="Verdana"/>
          <w:noProof/>
          <w:lang w:eastAsia="es-ES"/>
        </w:rPr>
        <w:t xml:space="preserve">la crisis </w:t>
      </w:r>
      <w:r w:rsidR="00D80F64">
        <w:rPr>
          <w:rFonts w:ascii="Verdana" w:hAnsi="Verdana"/>
          <w:noProof/>
          <w:lang w:eastAsia="es-ES"/>
        </w:rPr>
        <w:t>pandémica</w:t>
      </w:r>
      <w:r w:rsidRPr="001668FA">
        <w:rPr>
          <w:rFonts w:ascii="Verdana" w:hAnsi="Verdana"/>
          <w:noProof/>
          <w:lang w:eastAsia="es-ES"/>
        </w:rPr>
        <w:t xml:space="preserve">, unido a los cada vez mayores precios de bienes como la electricidad o el aumento de los precios de otros bienes de primera necesidad han provocado que los hogares tengan </w:t>
      </w:r>
      <w:r w:rsidR="00D80F64">
        <w:rPr>
          <w:rFonts w:ascii="Verdana" w:hAnsi="Verdana"/>
          <w:noProof/>
          <w:lang w:eastAsia="es-ES"/>
        </w:rPr>
        <w:t xml:space="preserve">mayores </w:t>
      </w:r>
      <w:r w:rsidRPr="001668FA">
        <w:rPr>
          <w:rFonts w:ascii="Verdana" w:hAnsi="Verdana"/>
          <w:noProof/>
          <w:lang w:eastAsia="es-ES"/>
        </w:rPr>
        <w:t>dificultades para llegar a fin de mes.</w:t>
      </w:r>
    </w:p>
    <w:p w:rsidR="001305E4" w:rsidRPr="001668FA" w:rsidRDefault="003C4E32" w:rsidP="003C4E32">
      <w:pPr>
        <w:spacing w:line="360" w:lineRule="auto"/>
        <w:jc w:val="both"/>
        <w:rPr>
          <w:rFonts w:ascii="Verdana" w:hAnsi="Verdana"/>
          <w:noProof/>
          <w:lang w:eastAsia="es-ES"/>
        </w:rPr>
      </w:pPr>
      <w:r w:rsidRPr="001668FA">
        <w:rPr>
          <w:rFonts w:ascii="Verdana" w:hAnsi="Verdana"/>
          <w:noProof/>
          <w:lang w:eastAsia="es-ES"/>
        </w:rPr>
        <w:t xml:space="preserve">En Asturias el número de </w:t>
      </w:r>
      <w:r w:rsidRPr="001668FA">
        <w:rPr>
          <w:rFonts w:ascii="Verdana" w:hAnsi="Verdana"/>
          <w:b/>
          <w:noProof/>
          <w:color w:val="7030A0"/>
          <w:lang w:eastAsia="es-ES"/>
        </w:rPr>
        <w:t>hogares</w:t>
      </w:r>
      <w:r w:rsidRPr="001668FA">
        <w:rPr>
          <w:rFonts w:ascii="Verdana" w:hAnsi="Verdana"/>
          <w:noProof/>
          <w:lang w:eastAsia="es-ES"/>
        </w:rPr>
        <w:t xml:space="preserve"> que llega con </w:t>
      </w:r>
      <w:r w:rsidRPr="001668FA">
        <w:rPr>
          <w:rFonts w:ascii="Verdana" w:hAnsi="Verdana"/>
          <w:b/>
          <w:noProof/>
          <w:color w:val="7030A0"/>
          <w:lang w:eastAsia="es-ES"/>
        </w:rPr>
        <w:t>mucha dificultad a fin de mes</w:t>
      </w:r>
      <w:r w:rsidRPr="001668FA">
        <w:rPr>
          <w:rFonts w:ascii="Verdana" w:hAnsi="Verdana"/>
          <w:noProof/>
          <w:color w:val="7030A0"/>
          <w:lang w:eastAsia="es-ES"/>
        </w:rPr>
        <w:t xml:space="preserve"> </w:t>
      </w:r>
      <w:r w:rsidRPr="001668FA">
        <w:rPr>
          <w:rFonts w:ascii="Verdana" w:hAnsi="Verdana"/>
          <w:b/>
          <w:noProof/>
          <w:color w:val="7030A0"/>
          <w:lang w:eastAsia="es-ES"/>
        </w:rPr>
        <w:t>ha</w:t>
      </w:r>
      <w:r w:rsidRPr="001668FA">
        <w:rPr>
          <w:rFonts w:ascii="Verdana" w:hAnsi="Verdana"/>
          <w:noProof/>
          <w:color w:val="7030A0"/>
          <w:lang w:eastAsia="es-ES"/>
        </w:rPr>
        <w:t xml:space="preserve"> </w:t>
      </w:r>
      <w:r w:rsidRPr="001668FA">
        <w:rPr>
          <w:rFonts w:ascii="Verdana" w:hAnsi="Verdana"/>
          <w:b/>
          <w:noProof/>
          <w:color w:val="7030A0"/>
          <w:lang w:eastAsia="es-ES"/>
        </w:rPr>
        <w:t xml:space="preserve">crecido </w:t>
      </w:r>
      <w:r w:rsidR="001668FA" w:rsidRPr="001668FA">
        <w:rPr>
          <w:rFonts w:ascii="Verdana" w:hAnsi="Verdana"/>
          <w:b/>
          <w:noProof/>
          <w:color w:val="7030A0"/>
          <w:lang w:eastAsia="es-ES"/>
        </w:rPr>
        <w:t>hasta prácticamente el 10%</w:t>
      </w:r>
      <w:r w:rsidR="001668FA" w:rsidRPr="001668FA">
        <w:rPr>
          <w:rFonts w:ascii="Verdana" w:hAnsi="Verdana"/>
          <w:noProof/>
          <w:lang w:eastAsia="es-ES"/>
        </w:rPr>
        <w:t>, lo que significa que uno de cada diez hogares asturianos llega con mucha dificultad a fin de mes.</w:t>
      </w:r>
    </w:p>
    <w:p w:rsidR="003B44F9" w:rsidRDefault="003C4E32" w:rsidP="003C4E32">
      <w:pPr>
        <w:spacing w:line="360" w:lineRule="auto"/>
        <w:jc w:val="both"/>
        <w:rPr>
          <w:rFonts w:ascii="Verdana" w:hAnsi="Verdana"/>
          <w:noProof/>
          <w:lang w:eastAsia="es-ES"/>
        </w:rPr>
      </w:pPr>
      <w:r w:rsidRPr="00B913C7">
        <w:rPr>
          <w:rFonts w:ascii="Verdana" w:hAnsi="Verdana"/>
          <w:noProof/>
          <w:lang w:eastAsia="es-ES"/>
        </w:rPr>
        <w:t xml:space="preserve">Los que llegan </w:t>
      </w:r>
      <w:r w:rsidRPr="00B913C7">
        <w:rPr>
          <w:rFonts w:ascii="Verdana" w:hAnsi="Verdana"/>
          <w:b/>
          <w:noProof/>
          <w:color w:val="7030A0"/>
          <w:lang w:eastAsia="es-ES"/>
        </w:rPr>
        <w:t>con dificultad</w:t>
      </w:r>
      <w:r w:rsidRPr="00B913C7">
        <w:rPr>
          <w:rFonts w:ascii="Verdana" w:hAnsi="Verdana"/>
          <w:noProof/>
          <w:lang w:eastAsia="es-ES"/>
        </w:rPr>
        <w:t xml:space="preserve"> </w:t>
      </w:r>
      <w:r w:rsidRPr="00B913C7">
        <w:rPr>
          <w:rFonts w:ascii="Verdana" w:hAnsi="Verdana"/>
          <w:b/>
          <w:noProof/>
          <w:color w:val="7030A0"/>
          <w:lang w:eastAsia="es-ES"/>
        </w:rPr>
        <w:t>aumentan</w:t>
      </w:r>
      <w:r w:rsidRPr="00B913C7">
        <w:rPr>
          <w:rFonts w:ascii="Verdana" w:hAnsi="Verdana"/>
          <w:noProof/>
          <w:lang w:eastAsia="es-ES"/>
        </w:rPr>
        <w:t xml:space="preserve"> </w:t>
      </w:r>
      <w:r w:rsidR="003B44F9">
        <w:rPr>
          <w:rFonts w:ascii="Verdana" w:hAnsi="Verdana"/>
          <w:noProof/>
          <w:lang w:eastAsia="es-ES"/>
        </w:rPr>
        <w:t xml:space="preserve">y </w:t>
      </w:r>
      <w:r w:rsidR="001305E4" w:rsidRPr="00B913C7">
        <w:rPr>
          <w:rFonts w:ascii="Verdana" w:hAnsi="Verdana"/>
          <w:noProof/>
          <w:lang w:eastAsia="es-ES"/>
        </w:rPr>
        <w:t>se sitúan en el 8,3% (12,1% en España).</w:t>
      </w:r>
      <w:r w:rsidR="00B913C7" w:rsidRPr="00B913C7">
        <w:rPr>
          <w:rFonts w:ascii="Verdana" w:hAnsi="Verdana"/>
          <w:noProof/>
          <w:lang w:eastAsia="es-ES"/>
        </w:rPr>
        <w:t xml:space="preserve"> </w:t>
      </w:r>
    </w:p>
    <w:p w:rsidR="003C4E32" w:rsidRPr="00F05FD6" w:rsidRDefault="003C4E32" w:rsidP="003C4E32">
      <w:pPr>
        <w:jc w:val="both"/>
        <w:rPr>
          <w:rFonts w:ascii="Verdana" w:hAnsi="Verdana"/>
          <w:noProof/>
          <w:highlight w:val="yellow"/>
          <w:lang w:eastAsia="es-ES"/>
        </w:rPr>
      </w:pPr>
      <w:r w:rsidRPr="002F34F8">
        <w:rPr>
          <w:rFonts w:ascii="Verdana" w:hAnsi="Verdana"/>
          <w:noProof/>
          <w:lang w:eastAsia="es-ES"/>
        </w:rPr>
        <w:lastRenderedPageBreak/>
        <w:drawing>
          <wp:inline distT="0" distB="0" distL="0" distR="0">
            <wp:extent cx="5400040" cy="5238750"/>
            <wp:effectExtent l="19050" t="0" r="10160" b="0"/>
            <wp:docPr id="15"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E7217" w:rsidRPr="00831F94" w:rsidRDefault="000E7217" w:rsidP="000E7217">
      <w:pPr>
        <w:spacing w:after="0" w:line="240" w:lineRule="auto"/>
        <w:ind w:firstLine="709"/>
        <w:jc w:val="both"/>
        <w:rPr>
          <w:rFonts w:ascii="Verdana" w:eastAsiaTheme="majorEastAsia" w:hAnsi="Verdana" w:cstheme="majorBidi"/>
          <w:i/>
          <w:spacing w:val="5"/>
          <w:kern w:val="28"/>
          <w:sz w:val="18"/>
          <w:szCs w:val="18"/>
        </w:rPr>
      </w:pPr>
      <w:r w:rsidRPr="00831F94">
        <w:rPr>
          <w:rFonts w:ascii="Verdana" w:eastAsiaTheme="majorEastAsia" w:hAnsi="Verdana" w:cstheme="majorBidi"/>
          <w:i/>
          <w:spacing w:val="5"/>
          <w:kern w:val="28"/>
          <w:sz w:val="18"/>
          <w:szCs w:val="18"/>
        </w:rPr>
        <w:t>Unidad: porcentaje</w:t>
      </w:r>
    </w:p>
    <w:p w:rsidR="000E7217" w:rsidRPr="00831F94" w:rsidRDefault="000E7217" w:rsidP="000E7217">
      <w:pPr>
        <w:spacing w:after="0" w:line="240" w:lineRule="auto"/>
        <w:ind w:firstLine="709"/>
        <w:jc w:val="both"/>
        <w:rPr>
          <w:rFonts w:ascii="Verdana" w:eastAsiaTheme="majorEastAsia" w:hAnsi="Verdana" w:cstheme="majorBidi"/>
          <w:i/>
          <w:spacing w:val="5"/>
          <w:kern w:val="28"/>
          <w:sz w:val="18"/>
          <w:szCs w:val="18"/>
        </w:rPr>
      </w:pPr>
      <w:proofErr w:type="spellStart"/>
      <w:r w:rsidRPr="00831F94">
        <w:rPr>
          <w:rFonts w:ascii="Verdana" w:eastAsiaTheme="majorEastAsia" w:hAnsi="Verdana" w:cstheme="majorBidi"/>
          <w:i/>
          <w:spacing w:val="5"/>
          <w:kern w:val="28"/>
          <w:sz w:val="18"/>
          <w:szCs w:val="18"/>
        </w:rPr>
        <w:t>Fte</w:t>
      </w:r>
      <w:proofErr w:type="spellEnd"/>
      <w:r w:rsidRPr="00831F94">
        <w:rPr>
          <w:rFonts w:ascii="Verdana" w:eastAsiaTheme="majorEastAsia" w:hAnsi="Verdana" w:cstheme="majorBidi"/>
          <w:i/>
          <w:spacing w:val="5"/>
          <w:kern w:val="28"/>
          <w:sz w:val="18"/>
          <w:szCs w:val="18"/>
        </w:rPr>
        <w:t>: INE, Encuesta de Condiciones de Vida</w:t>
      </w:r>
    </w:p>
    <w:p w:rsidR="003C4E32" w:rsidRPr="00F05FD6" w:rsidRDefault="003C4E32" w:rsidP="003C4E32">
      <w:pPr>
        <w:jc w:val="both"/>
        <w:rPr>
          <w:rFonts w:ascii="Verdana" w:hAnsi="Verdana"/>
          <w:highlight w:val="yellow"/>
        </w:rPr>
      </w:pPr>
    </w:p>
    <w:p w:rsidR="003C4E32" w:rsidRPr="00F05FD6" w:rsidRDefault="003C4E32" w:rsidP="003C4E32">
      <w:pPr>
        <w:jc w:val="both"/>
        <w:rPr>
          <w:rFonts w:ascii="Verdana" w:hAnsi="Verdana"/>
          <w:highlight w:val="yellow"/>
        </w:rPr>
      </w:pPr>
    </w:p>
    <w:p w:rsidR="003C4E32" w:rsidRPr="00831F94" w:rsidRDefault="003C4E32" w:rsidP="003C4E32">
      <w:pPr>
        <w:jc w:val="both"/>
        <w:rPr>
          <w:rFonts w:ascii="Verdana" w:hAnsi="Verdana"/>
        </w:rPr>
      </w:pPr>
    </w:p>
    <w:p w:rsidR="003C4E32" w:rsidRPr="00831F94" w:rsidRDefault="003C4E32" w:rsidP="003C4E32">
      <w:pPr>
        <w:jc w:val="both"/>
        <w:rPr>
          <w:rFonts w:ascii="Verdana" w:hAnsi="Verdana"/>
        </w:rPr>
      </w:pPr>
      <w:r w:rsidRPr="00831F94">
        <w:rPr>
          <w:rFonts w:ascii="Verdana" w:hAnsi="Verdana"/>
          <w:noProof/>
          <w:lang w:eastAsia="es-ES"/>
        </w:rPr>
        <w:lastRenderedPageBreak/>
        <w:drawing>
          <wp:inline distT="0" distB="0" distL="0" distR="0">
            <wp:extent cx="5400040" cy="5238750"/>
            <wp:effectExtent l="19050" t="0" r="10160" b="0"/>
            <wp:docPr id="1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E7217" w:rsidRPr="00831F94" w:rsidRDefault="000E7217" w:rsidP="000E7217">
      <w:pPr>
        <w:spacing w:after="0" w:line="240" w:lineRule="auto"/>
        <w:ind w:firstLine="709"/>
        <w:jc w:val="both"/>
        <w:rPr>
          <w:rFonts w:ascii="Verdana" w:eastAsiaTheme="majorEastAsia" w:hAnsi="Verdana" w:cstheme="majorBidi"/>
          <w:i/>
          <w:spacing w:val="5"/>
          <w:kern w:val="28"/>
          <w:sz w:val="18"/>
          <w:szCs w:val="18"/>
        </w:rPr>
      </w:pPr>
      <w:r w:rsidRPr="00831F94">
        <w:rPr>
          <w:rFonts w:ascii="Verdana" w:eastAsiaTheme="majorEastAsia" w:hAnsi="Verdana" w:cstheme="majorBidi"/>
          <w:i/>
          <w:spacing w:val="5"/>
          <w:kern w:val="28"/>
          <w:sz w:val="18"/>
          <w:szCs w:val="18"/>
        </w:rPr>
        <w:t>Unidad: porcentaje</w:t>
      </w:r>
    </w:p>
    <w:p w:rsidR="00A364A5" w:rsidRDefault="000E7217" w:rsidP="00D80F64">
      <w:pPr>
        <w:spacing w:after="0" w:line="240" w:lineRule="auto"/>
        <w:ind w:firstLine="709"/>
        <w:jc w:val="both"/>
        <w:rPr>
          <w:rFonts w:ascii="Verdana" w:eastAsiaTheme="majorEastAsia" w:hAnsi="Verdana" w:cstheme="majorBidi"/>
          <w:i/>
          <w:spacing w:val="5"/>
          <w:kern w:val="28"/>
          <w:sz w:val="18"/>
          <w:szCs w:val="18"/>
        </w:rPr>
      </w:pPr>
      <w:proofErr w:type="spellStart"/>
      <w:r w:rsidRPr="00831F94">
        <w:rPr>
          <w:rFonts w:ascii="Verdana" w:eastAsiaTheme="majorEastAsia" w:hAnsi="Verdana" w:cstheme="majorBidi"/>
          <w:i/>
          <w:spacing w:val="5"/>
          <w:kern w:val="28"/>
          <w:sz w:val="18"/>
          <w:szCs w:val="18"/>
        </w:rPr>
        <w:t>Fte</w:t>
      </w:r>
      <w:proofErr w:type="spellEnd"/>
      <w:r w:rsidRPr="00831F94">
        <w:rPr>
          <w:rFonts w:ascii="Verdana" w:eastAsiaTheme="majorEastAsia" w:hAnsi="Verdana" w:cstheme="majorBidi"/>
          <w:i/>
          <w:spacing w:val="5"/>
          <w:kern w:val="28"/>
          <w:sz w:val="18"/>
          <w:szCs w:val="18"/>
        </w:rPr>
        <w:t>: INE, Encuesta de Condiciones de Vida</w:t>
      </w:r>
    </w:p>
    <w:p w:rsidR="00D80F64" w:rsidRPr="00D80F64" w:rsidRDefault="00D80F64" w:rsidP="00D80F64">
      <w:pPr>
        <w:spacing w:after="0" w:line="240" w:lineRule="auto"/>
        <w:ind w:firstLine="709"/>
        <w:jc w:val="both"/>
        <w:rPr>
          <w:rFonts w:ascii="Verdana" w:eastAsiaTheme="majorEastAsia" w:hAnsi="Verdana" w:cstheme="majorBidi"/>
          <w:i/>
          <w:spacing w:val="5"/>
          <w:kern w:val="28"/>
          <w:sz w:val="18"/>
          <w:szCs w:val="18"/>
        </w:rPr>
      </w:pPr>
    </w:p>
    <w:p w:rsidR="00D80F64" w:rsidRPr="000E4176" w:rsidRDefault="00107019" w:rsidP="00107019">
      <w:pPr>
        <w:pBdr>
          <w:top w:val="single" w:sz="12" w:space="1" w:color="7030A0"/>
          <w:left w:val="single" w:sz="12" w:space="4" w:color="7030A0"/>
          <w:bottom w:val="single" w:sz="12" w:space="1" w:color="7030A0"/>
          <w:right w:val="single" w:sz="12" w:space="4" w:color="7030A0"/>
        </w:pBdr>
        <w:spacing w:line="360" w:lineRule="auto"/>
        <w:jc w:val="both"/>
        <w:rPr>
          <w:rFonts w:ascii="Verdana" w:hAnsi="Verdana"/>
          <w:b/>
          <w:noProof/>
          <w:color w:val="7030A0"/>
          <w:lang w:eastAsia="es-ES"/>
        </w:rPr>
      </w:pPr>
      <w:r w:rsidRPr="00107019">
        <w:rPr>
          <w:rFonts w:ascii="Verdana" w:hAnsi="Verdana"/>
          <w:noProof/>
          <w:color w:val="7030A0"/>
          <w:lang w:eastAsia="es-ES"/>
        </w:rPr>
        <w:t>Ante la situación de pobreza, las dificultades de los hogares para llegar a fin de mes y el cada vez mayor número de personas que se ven obligadas a acudir a las “colas del hambre” urge</w:t>
      </w:r>
      <w:r w:rsidR="00D80F64">
        <w:rPr>
          <w:rFonts w:ascii="Verdana" w:hAnsi="Verdana"/>
          <w:noProof/>
          <w:color w:val="7030A0"/>
          <w:lang w:eastAsia="es-ES"/>
        </w:rPr>
        <w:t xml:space="preserve"> </w:t>
      </w:r>
      <w:r w:rsidR="00D80F64" w:rsidRPr="000E4176">
        <w:rPr>
          <w:rFonts w:ascii="Verdana" w:hAnsi="Verdana"/>
          <w:b/>
          <w:noProof/>
          <w:color w:val="7030A0"/>
          <w:lang w:eastAsia="es-ES"/>
        </w:rPr>
        <w:t>reforzar la protección social</w:t>
      </w:r>
    </w:p>
    <w:p w:rsidR="00D80F64" w:rsidRDefault="00D80F64" w:rsidP="00107019">
      <w:pPr>
        <w:pBdr>
          <w:top w:val="single" w:sz="12" w:space="1" w:color="7030A0"/>
          <w:left w:val="single" w:sz="12" w:space="4" w:color="7030A0"/>
          <w:bottom w:val="single" w:sz="12" w:space="1" w:color="7030A0"/>
          <w:right w:val="single" w:sz="12" w:space="4" w:color="7030A0"/>
        </w:pBdr>
        <w:spacing w:line="360" w:lineRule="auto"/>
        <w:jc w:val="both"/>
        <w:rPr>
          <w:rFonts w:ascii="Verdana" w:hAnsi="Verdana"/>
          <w:noProof/>
          <w:color w:val="7030A0"/>
          <w:lang w:eastAsia="es-ES"/>
        </w:rPr>
      </w:pPr>
      <w:r>
        <w:rPr>
          <w:rFonts w:ascii="Verdana" w:hAnsi="Verdana"/>
          <w:noProof/>
          <w:color w:val="7030A0"/>
          <w:lang w:eastAsia="es-ES"/>
        </w:rPr>
        <w:t xml:space="preserve">Deben rediseñarse las políticas activas de empleo para favorecer la </w:t>
      </w:r>
      <w:r w:rsidRPr="000E4176">
        <w:rPr>
          <w:rFonts w:ascii="Verdana" w:hAnsi="Verdana"/>
          <w:b/>
          <w:noProof/>
          <w:color w:val="7030A0"/>
          <w:lang w:eastAsia="es-ES"/>
        </w:rPr>
        <w:t>reinserción de aquellas personas que han perdido su empleo</w:t>
      </w:r>
      <w:r w:rsidRPr="00D80F64">
        <w:rPr>
          <w:rFonts w:ascii="Verdana" w:hAnsi="Verdana"/>
          <w:noProof/>
          <w:color w:val="7030A0"/>
          <w:lang w:eastAsia="es-ES"/>
        </w:rPr>
        <w:t xml:space="preserve"> durante la crisis</w:t>
      </w:r>
    </w:p>
    <w:p w:rsidR="00FD3AF5" w:rsidRDefault="00D80F64" w:rsidP="00107019">
      <w:pPr>
        <w:pBdr>
          <w:top w:val="single" w:sz="12" w:space="1" w:color="7030A0"/>
          <w:left w:val="single" w:sz="12" w:space="4" w:color="7030A0"/>
          <w:bottom w:val="single" w:sz="12" w:space="1" w:color="7030A0"/>
          <w:right w:val="single" w:sz="12" w:space="4" w:color="7030A0"/>
        </w:pBdr>
        <w:spacing w:line="360" w:lineRule="auto"/>
        <w:jc w:val="both"/>
        <w:rPr>
          <w:rFonts w:ascii="Verdana" w:hAnsi="Verdana"/>
          <w:noProof/>
          <w:color w:val="7030A0"/>
          <w:lang w:eastAsia="es-ES"/>
        </w:rPr>
      </w:pPr>
      <w:r>
        <w:rPr>
          <w:rFonts w:ascii="Verdana" w:hAnsi="Verdana"/>
          <w:noProof/>
          <w:color w:val="7030A0"/>
          <w:lang w:eastAsia="es-ES"/>
        </w:rPr>
        <w:t xml:space="preserve">Son necesarios </w:t>
      </w:r>
      <w:r w:rsidR="00107019" w:rsidRPr="00107019">
        <w:rPr>
          <w:rFonts w:ascii="Verdana" w:hAnsi="Verdana"/>
          <w:noProof/>
          <w:color w:val="7030A0"/>
          <w:lang w:eastAsia="es-ES"/>
        </w:rPr>
        <w:t xml:space="preserve">cambios en el </w:t>
      </w:r>
      <w:r w:rsidR="00107019" w:rsidRPr="00526006">
        <w:rPr>
          <w:rFonts w:ascii="Verdana" w:hAnsi="Verdana"/>
          <w:b/>
          <w:noProof/>
          <w:color w:val="7030A0"/>
          <w:lang w:eastAsia="es-ES"/>
        </w:rPr>
        <w:t>ingreso mínimo vital</w:t>
      </w:r>
      <w:r w:rsidR="00EA6F5F">
        <w:rPr>
          <w:rFonts w:ascii="Verdana" w:hAnsi="Verdana"/>
          <w:noProof/>
          <w:color w:val="7030A0"/>
          <w:lang w:eastAsia="es-ES"/>
        </w:rPr>
        <w:t xml:space="preserve"> para agilizar los trámites y que llegue todas las personas que lo necesitan</w:t>
      </w:r>
    </w:p>
    <w:p w:rsidR="00107019" w:rsidRPr="00107019" w:rsidRDefault="00526006" w:rsidP="00107019">
      <w:pPr>
        <w:pBdr>
          <w:top w:val="single" w:sz="12" w:space="1" w:color="7030A0"/>
          <w:left w:val="single" w:sz="12" w:space="4" w:color="7030A0"/>
          <w:bottom w:val="single" w:sz="12" w:space="1" w:color="7030A0"/>
          <w:right w:val="single" w:sz="12" w:space="4" w:color="7030A0"/>
        </w:pBdr>
        <w:spacing w:line="360" w:lineRule="auto"/>
        <w:jc w:val="both"/>
        <w:rPr>
          <w:rFonts w:ascii="Verdana" w:hAnsi="Verdana"/>
          <w:noProof/>
          <w:color w:val="7030A0"/>
          <w:lang w:eastAsia="es-ES"/>
        </w:rPr>
      </w:pPr>
      <w:r>
        <w:rPr>
          <w:rFonts w:ascii="Verdana" w:hAnsi="Verdana"/>
          <w:noProof/>
          <w:color w:val="7030A0"/>
          <w:lang w:eastAsia="es-ES"/>
        </w:rPr>
        <w:t xml:space="preserve">Hay que atender la </w:t>
      </w:r>
      <w:r w:rsidR="00107019">
        <w:rPr>
          <w:rFonts w:ascii="Verdana" w:hAnsi="Verdana"/>
          <w:noProof/>
          <w:color w:val="7030A0"/>
          <w:lang w:eastAsia="es-ES"/>
        </w:rPr>
        <w:t>pobreza</w:t>
      </w:r>
      <w:r>
        <w:rPr>
          <w:rFonts w:ascii="Verdana" w:hAnsi="Verdana"/>
          <w:noProof/>
          <w:color w:val="7030A0"/>
          <w:lang w:eastAsia="es-ES"/>
        </w:rPr>
        <w:t xml:space="preserve"> en todas las formas</w:t>
      </w:r>
      <w:r w:rsidR="00107019">
        <w:rPr>
          <w:rFonts w:ascii="Verdana" w:hAnsi="Verdana"/>
          <w:noProof/>
          <w:color w:val="7030A0"/>
          <w:lang w:eastAsia="es-ES"/>
        </w:rPr>
        <w:t xml:space="preserve">: la pobreza energética, </w:t>
      </w:r>
      <w:r>
        <w:rPr>
          <w:rFonts w:ascii="Verdana" w:hAnsi="Verdana"/>
          <w:noProof/>
          <w:color w:val="7030A0"/>
          <w:lang w:eastAsia="es-ES"/>
        </w:rPr>
        <w:t>las brechas digitales, desahucios…</w:t>
      </w:r>
    </w:p>
    <w:p w:rsidR="00790F5A" w:rsidRPr="00F05FD6" w:rsidRDefault="00790F5A" w:rsidP="00165117">
      <w:pPr>
        <w:jc w:val="both"/>
        <w:rPr>
          <w:rFonts w:asciiTheme="majorHAnsi" w:eastAsiaTheme="majorEastAsia" w:hAnsiTheme="majorHAnsi" w:cstheme="majorBidi"/>
          <w:color w:val="7030A0"/>
          <w:spacing w:val="5"/>
          <w:kern w:val="28"/>
          <w:sz w:val="52"/>
          <w:szCs w:val="52"/>
          <w:highlight w:val="yellow"/>
        </w:rPr>
      </w:pPr>
    </w:p>
    <w:p w:rsidR="002A262D" w:rsidRPr="006567CE" w:rsidRDefault="004D17CB" w:rsidP="0002338C">
      <w:pPr>
        <w:pStyle w:val="Prrafodelista"/>
        <w:numPr>
          <w:ilvl w:val="0"/>
          <w:numId w:val="15"/>
        </w:numPr>
        <w:pBdr>
          <w:bottom w:val="single" w:sz="8" w:space="1" w:color="7030A0"/>
        </w:pBdr>
        <w:jc w:val="both"/>
        <w:rPr>
          <w:rFonts w:asciiTheme="majorHAnsi" w:eastAsiaTheme="majorEastAsia" w:hAnsiTheme="majorHAnsi" w:cstheme="majorBidi"/>
          <w:color w:val="7030A0"/>
          <w:spacing w:val="5"/>
          <w:kern w:val="28"/>
          <w:sz w:val="52"/>
          <w:szCs w:val="52"/>
        </w:rPr>
      </w:pPr>
      <w:r w:rsidRPr="006567CE">
        <w:rPr>
          <w:rFonts w:asciiTheme="majorHAnsi" w:eastAsiaTheme="majorEastAsia" w:hAnsiTheme="majorHAnsi" w:cstheme="majorBidi"/>
          <w:color w:val="7030A0"/>
          <w:spacing w:val="5"/>
          <w:kern w:val="28"/>
          <w:sz w:val="52"/>
          <w:szCs w:val="52"/>
        </w:rPr>
        <w:t>IMPACTO DE LA POBREZA</w:t>
      </w:r>
    </w:p>
    <w:p w:rsidR="00FE2096" w:rsidRPr="006567CE" w:rsidRDefault="00FE2096" w:rsidP="004F6B7E">
      <w:pPr>
        <w:jc w:val="both"/>
        <w:rPr>
          <w:rFonts w:ascii="Verdana" w:hAnsi="Verdana"/>
        </w:rPr>
      </w:pPr>
    </w:p>
    <w:p w:rsidR="00FE2096" w:rsidRPr="006567CE" w:rsidRDefault="00FE2096" w:rsidP="004F6B7E">
      <w:pPr>
        <w:jc w:val="both"/>
        <w:rPr>
          <w:rFonts w:ascii="Verdana" w:hAnsi="Verdana"/>
        </w:rPr>
      </w:pPr>
      <w:r w:rsidRPr="006567CE">
        <w:rPr>
          <w:rFonts w:ascii="Verdana" w:hAnsi="Verdana"/>
          <w:b/>
          <w:color w:val="7030A0"/>
        </w:rPr>
        <w:t>1</w:t>
      </w:r>
      <w:r w:rsidR="00FD3AF5" w:rsidRPr="006567CE">
        <w:rPr>
          <w:rFonts w:ascii="Verdana" w:hAnsi="Verdana"/>
          <w:b/>
          <w:color w:val="7030A0"/>
        </w:rPr>
        <w:t>.</w:t>
      </w:r>
      <w:r w:rsidRPr="006567CE">
        <w:rPr>
          <w:rFonts w:ascii="Verdana" w:hAnsi="Verdana"/>
          <w:b/>
          <w:color w:val="7030A0"/>
        </w:rPr>
        <w:t xml:space="preserve"> COLECTIVOS MÁS VULNERABLES </w:t>
      </w:r>
    </w:p>
    <w:p w:rsidR="00FE2096" w:rsidRPr="006567CE" w:rsidRDefault="00FE2096" w:rsidP="004F6B7E">
      <w:pPr>
        <w:jc w:val="both"/>
        <w:rPr>
          <w:rFonts w:ascii="Verdana" w:hAnsi="Verdana"/>
        </w:rPr>
      </w:pPr>
    </w:p>
    <w:p w:rsidR="00386734" w:rsidRPr="006567CE" w:rsidRDefault="00386734" w:rsidP="005D7211">
      <w:pPr>
        <w:spacing w:line="360" w:lineRule="auto"/>
        <w:jc w:val="both"/>
        <w:rPr>
          <w:rFonts w:ascii="Verdana" w:hAnsi="Verdana"/>
        </w:rPr>
      </w:pPr>
      <w:r w:rsidRPr="006567CE">
        <w:rPr>
          <w:rFonts w:ascii="Verdana" w:hAnsi="Verdana"/>
        </w:rPr>
        <w:t xml:space="preserve">La pobreza tiene una mayor incidencia en determinados colectivos como mujeres, jóvenes, </w:t>
      </w:r>
      <w:r w:rsidR="00B25DE7" w:rsidRPr="006567CE">
        <w:rPr>
          <w:rFonts w:ascii="Verdana" w:hAnsi="Verdana"/>
        </w:rPr>
        <w:t xml:space="preserve">extranjeros, </w:t>
      </w:r>
      <w:r w:rsidRPr="006567CE">
        <w:rPr>
          <w:rFonts w:ascii="Verdana" w:hAnsi="Verdana"/>
        </w:rPr>
        <w:t>desempleados y personas con bajo nivel de formación.</w:t>
      </w:r>
    </w:p>
    <w:p w:rsidR="006567CE" w:rsidRPr="006567CE" w:rsidRDefault="006567CE" w:rsidP="005D7211">
      <w:pPr>
        <w:spacing w:line="360" w:lineRule="auto"/>
        <w:jc w:val="both"/>
        <w:rPr>
          <w:rFonts w:ascii="Verdana" w:hAnsi="Verdana"/>
        </w:rPr>
      </w:pPr>
      <w:r w:rsidRPr="006567CE">
        <w:rPr>
          <w:rFonts w:ascii="Verdana" w:hAnsi="Verdana"/>
        </w:rPr>
        <w:t>Analizando la tasa AROPE para España según características, esos datos no aparecen desagregados a nivel de comunidad autó</w:t>
      </w:r>
      <w:r>
        <w:rPr>
          <w:rFonts w:ascii="Verdana" w:hAnsi="Verdana"/>
        </w:rPr>
        <w:t>noma. Se observa</w:t>
      </w:r>
      <w:r w:rsidR="00C75B27">
        <w:rPr>
          <w:rFonts w:ascii="Verdana" w:hAnsi="Verdana"/>
        </w:rPr>
        <w:t>n</w:t>
      </w:r>
      <w:r>
        <w:rPr>
          <w:rFonts w:ascii="Verdana" w:hAnsi="Verdana"/>
        </w:rPr>
        <w:t xml:space="preserve"> fuertes dispar</w:t>
      </w:r>
      <w:r w:rsidRPr="006567CE">
        <w:rPr>
          <w:rFonts w:ascii="Verdana" w:hAnsi="Verdana"/>
        </w:rPr>
        <w:t>idades:</w:t>
      </w:r>
    </w:p>
    <w:p w:rsidR="00386734" w:rsidRPr="006567CE" w:rsidRDefault="00B25DE7" w:rsidP="005D7211">
      <w:pPr>
        <w:pStyle w:val="Prrafodelista"/>
        <w:numPr>
          <w:ilvl w:val="0"/>
          <w:numId w:val="5"/>
        </w:numPr>
        <w:spacing w:line="360" w:lineRule="auto"/>
        <w:jc w:val="both"/>
        <w:rPr>
          <w:rFonts w:ascii="Verdana" w:hAnsi="Verdana"/>
        </w:rPr>
      </w:pPr>
      <w:r w:rsidRPr="006567CE">
        <w:rPr>
          <w:rFonts w:ascii="Verdana" w:hAnsi="Verdana"/>
          <w:b/>
          <w:color w:val="7030A0"/>
        </w:rPr>
        <w:t>Por sexo</w:t>
      </w:r>
      <w:r w:rsidRPr="006567CE">
        <w:rPr>
          <w:rFonts w:ascii="Verdana" w:hAnsi="Verdana"/>
        </w:rPr>
        <w:t xml:space="preserve">: las </w:t>
      </w:r>
      <w:r w:rsidRPr="006567CE">
        <w:rPr>
          <w:rFonts w:ascii="Verdana" w:hAnsi="Verdana"/>
          <w:b/>
        </w:rPr>
        <w:t>mujeres</w:t>
      </w:r>
      <w:r w:rsidRPr="006567CE">
        <w:rPr>
          <w:rFonts w:ascii="Verdana" w:hAnsi="Verdana"/>
        </w:rPr>
        <w:t xml:space="preserve"> presentan una </w:t>
      </w:r>
      <w:r w:rsidR="00EF7C0F" w:rsidRPr="006567CE">
        <w:rPr>
          <w:rFonts w:ascii="Verdana" w:hAnsi="Verdana"/>
          <w:b/>
        </w:rPr>
        <w:t>mayor</w:t>
      </w:r>
      <w:r w:rsidR="00EF7C0F" w:rsidRPr="006567CE">
        <w:rPr>
          <w:rFonts w:ascii="Verdana" w:hAnsi="Verdana"/>
        </w:rPr>
        <w:t xml:space="preserve"> </w:t>
      </w:r>
      <w:r w:rsidRPr="006567CE">
        <w:rPr>
          <w:rFonts w:ascii="Verdana" w:hAnsi="Verdana"/>
          <w:b/>
        </w:rPr>
        <w:t xml:space="preserve">tasa </w:t>
      </w:r>
      <w:r w:rsidR="006567CE" w:rsidRPr="006567CE">
        <w:rPr>
          <w:rFonts w:ascii="Verdana" w:hAnsi="Verdana"/>
          <w:b/>
        </w:rPr>
        <w:t>AROPE</w:t>
      </w:r>
      <w:r w:rsidR="00C75B27">
        <w:rPr>
          <w:rFonts w:ascii="Verdana" w:hAnsi="Verdana"/>
        </w:rPr>
        <w:t xml:space="preserve">: </w:t>
      </w:r>
      <w:r w:rsidR="006567CE" w:rsidRPr="006567CE">
        <w:rPr>
          <w:rFonts w:ascii="Verdana" w:hAnsi="Verdana"/>
        </w:rPr>
        <w:t>27,2%, superando en 1,6</w:t>
      </w:r>
      <w:r w:rsidRPr="006567CE">
        <w:rPr>
          <w:rFonts w:ascii="Verdana" w:hAnsi="Verdana"/>
        </w:rPr>
        <w:t xml:space="preserve"> puntos porcentuales a los hombres (2</w:t>
      </w:r>
      <w:r w:rsidR="006567CE" w:rsidRPr="006567CE">
        <w:rPr>
          <w:rFonts w:ascii="Verdana" w:hAnsi="Verdana"/>
        </w:rPr>
        <w:t>5,</w:t>
      </w:r>
      <w:r w:rsidRPr="006567CE">
        <w:rPr>
          <w:rFonts w:ascii="Verdana" w:hAnsi="Verdana"/>
        </w:rPr>
        <w:t>6%).</w:t>
      </w:r>
    </w:p>
    <w:p w:rsidR="005D7211" w:rsidRPr="00F05FD6" w:rsidRDefault="005D7211" w:rsidP="005D7211">
      <w:pPr>
        <w:pStyle w:val="Prrafodelista"/>
        <w:spacing w:line="360" w:lineRule="auto"/>
        <w:jc w:val="both"/>
        <w:rPr>
          <w:rFonts w:ascii="Verdana" w:hAnsi="Verdana"/>
          <w:highlight w:val="yellow"/>
        </w:rPr>
      </w:pPr>
    </w:p>
    <w:p w:rsidR="00B25DE7" w:rsidRPr="00492784" w:rsidRDefault="00B25DE7" w:rsidP="005D7211">
      <w:pPr>
        <w:pStyle w:val="Prrafodelista"/>
        <w:numPr>
          <w:ilvl w:val="0"/>
          <w:numId w:val="5"/>
        </w:numPr>
        <w:spacing w:line="360" w:lineRule="auto"/>
        <w:jc w:val="both"/>
        <w:rPr>
          <w:rFonts w:ascii="Verdana" w:hAnsi="Verdana"/>
        </w:rPr>
      </w:pPr>
      <w:r w:rsidRPr="00492784">
        <w:rPr>
          <w:rFonts w:ascii="Verdana" w:hAnsi="Verdana"/>
          <w:b/>
          <w:color w:val="7030A0"/>
        </w:rPr>
        <w:t>Por edades</w:t>
      </w:r>
      <w:r w:rsidRPr="00492784">
        <w:rPr>
          <w:rFonts w:ascii="Verdana" w:hAnsi="Verdana"/>
        </w:rPr>
        <w:t xml:space="preserve">: los </w:t>
      </w:r>
      <w:r w:rsidRPr="00492784">
        <w:rPr>
          <w:rFonts w:ascii="Verdana" w:hAnsi="Verdana"/>
          <w:b/>
        </w:rPr>
        <w:t>más jóvenes</w:t>
      </w:r>
      <w:r w:rsidRPr="00492784">
        <w:rPr>
          <w:rFonts w:ascii="Verdana" w:hAnsi="Verdana"/>
        </w:rPr>
        <w:t xml:space="preserve"> son </w:t>
      </w:r>
      <w:r w:rsidRPr="00492784">
        <w:rPr>
          <w:rFonts w:ascii="Verdana" w:hAnsi="Verdana"/>
          <w:b/>
        </w:rPr>
        <w:t>más vulnerables</w:t>
      </w:r>
      <w:r w:rsidRPr="00492784">
        <w:rPr>
          <w:rFonts w:ascii="Verdana" w:hAnsi="Verdana"/>
        </w:rPr>
        <w:t xml:space="preserve"> a la pobre</w:t>
      </w:r>
      <w:r w:rsidR="005D7211" w:rsidRPr="00492784">
        <w:rPr>
          <w:rFonts w:ascii="Verdana" w:hAnsi="Verdana"/>
        </w:rPr>
        <w:t>za con una tasa entre los menores de 16 años del 31</w:t>
      </w:r>
      <w:r w:rsidR="00492784" w:rsidRPr="00492784">
        <w:rPr>
          <w:rFonts w:ascii="Verdana" w:hAnsi="Verdana"/>
        </w:rPr>
        <w:t>,2</w:t>
      </w:r>
      <w:r w:rsidR="005D7211" w:rsidRPr="00492784">
        <w:rPr>
          <w:rFonts w:ascii="Verdana" w:hAnsi="Verdana"/>
        </w:rPr>
        <w:t xml:space="preserve">% frente al </w:t>
      </w:r>
      <w:r w:rsidR="00492784" w:rsidRPr="00492784">
        <w:rPr>
          <w:rFonts w:ascii="Verdana" w:hAnsi="Verdana"/>
        </w:rPr>
        <w:t>20,5</w:t>
      </w:r>
      <w:r w:rsidR="005D7211" w:rsidRPr="00492784">
        <w:rPr>
          <w:rFonts w:ascii="Verdana" w:hAnsi="Verdana"/>
        </w:rPr>
        <w:t>% entre los mayores de 65 años.</w:t>
      </w:r>
    </w:p>
    <w:p w:rsidR="005D7211" w:rsidRPr="00492784" w:rsidRDefault="005D7211" w:rsidP="005D7211">
      <w:pPr>
        <w:pStyle w:val="Prrafodelista"/>
        <w:rPr>
          <w:rFonts w:ascii="Verdana" w:hAnsi="Verdana"/>
        </w:rPr>
      </w:pPr>
    </w:p>
    <w:p w:rsidR="005D7211" w:rsidRPr="00492784" w:rsidRDefault="005D7211" w:rsidP="005D7211">
      <w:pPr>
        <w:pStyle w:val="Prrafodelista"/>
        <w:numPr>
          <w:ilvl w:val="0"/>
          <w:numId w:val="5"/>
        </w:numPr>
        <w:spacing w:line="360" w:lineRule="auto"/>
        <w:jc w:val="both"/>
        <w:rPr>
          <w:rFonts w:ascii="Verdana" w:hAnsi="Verdana"/>
        </w:rPr>
      </w:pPr>
      <w:r w:rsidRPr="00492784">
        <w:rPr>
          <w:rFonts w:ascii="Verdana" w:hAnsi="Verdana"/>
          <w:b/>
          <w:color w:val="7030A0"/>
        </w:rPr>
        <w:t>Por nivel de formación</w:t>
      </w:r>
      <w:r w:rsidRPr="00492784">
        <w:rPr>
          <w:rFonts w:ascii="Verdana" w:hAnsi="Verdana"/>
        </w:rPr>
        <w:t xml:space="preserve">: la </w:t>
      </w:r>
      <w:r w:rsidRPr="00492784">
        <w:rPr>
          <w:rFonts w:ascii="Verdana" w:hAnsi="Verdana"/>
          <w:b/>
        </w:rPr>
        <w:t>población con menores niveles formativos</w:t>
      </w:r>
      <w:r w:rsidRPr="00492784">
        <w:rPr>
          <w:rFonts w:ascii="Verdana" w:hAnsi="Verdana"/>
        </w:rPr>
        <w:t xml:space="preserve"> sufren </w:t>
      </w:r>
      <w:r w:rsidRPr="00492784">
        <w:rPr>
          <w:rFonts w:ascii="Verdana" w:hAnsi="Verdana"/>
          <w:b/>
        </w:rPr>
        <w:t>mayores niveles de pobreza</w:t>
      </w:r>
      <w:r w:rsidRPr="00492784">
        <w:rPr>
          <w:rFonts w:ascii="Verdana" w:hAnsi="Verdana"/>
        </w:rPr>
        <w:t xml:space="preserve">. En el caso de personas con educación primaria y secundaria </w:t>
      </w:r>
      <w:r w:rsidR="00D91FD8" w:rsidRPr="00492784">
        <w:rPr>
          <w:rFonts w:ascii="Verdana" w:hAnsi="Verdana"/>
        </w:rPr>
        <w:t>primer</w:t>
      </w:r>
      <w:r w:rsidRPr="00492784">
        <w:rPr>
          <w:rFonts w:ascii="Verdana" w:hAnsi="Verdana"/>
        </w:rPr>
        <w:t>a etapa</w:t>
      </w:r>
      <w:r w:rsidR="00C75B27">
        <w:rPr>
          <w:rFonts w:ascii="Verdana" w:hAnsi="Verdana"/>
        </w:rPr>
        <w:t>,</w:t>
      </w:r>
      <w:r w:rsidRPr="00492784">
        <w:rPr>
          <w:rFonts w:ascii="Verdana" w:hAnsi="Verdana"/>
        </w:rPr>
        <w:t xml:space="preserve"> </w:t>
      </w:r>
      <w:r w:rsidR="00786464" w:rsidRPr="00492784">
        <w:rPr>
          <w:rFonts w:ascii="Verdana" w:hAnsi="Verdana"/>
        </w:rPr>
        <w:t xml:space="preserve">la tasa se sitúa </w:t>
      </w:r>
      <w:r w:rsidR="00EF7C0F" w:rsidRPr="00492784">
        <w:rPr>
          <w:rFonts w:ascii="Verdana" w:hAnsi="Verdana"/>
        </w:rPr>
        <w:t>por encima del 32%, mientras que para las personas con educa</w:t>
      </w:r>
      <w:r w:rsidR="00492784" w:rsidRPr="00492784">
        <w:rPr>
          <w:rFonts w:ascii="Verdana" w:hAnsi="Verdana"/>
        </w:rPr>
        <w:t>ción superior baja hasta el 13,7</w:t>
      </w:r>
      <w:r w:rsidR="00EF7C0F" w:rsidRPr="00492784">
        <w:rPr>
          <w:rFonts w:ascii="Verdana" w:hAnsi="Verdana"/>
        </w:rPr>
        <w:t>%.</w:t>
      </w:r>
      <w:r w:rsidR="00786464" w:rsidRPr="00492784">
        <w:rPr>
          <w:rFonts w:ascii="Verdana" w:hAnsi="Verdana"/>
        </w:rPr>
        <w:t xml:space="preserve"> </w:t>
      </w:r>
    </w:p>
    <w:p w:rsidR="00EF7C0F" w:rsidRPr="00492784" w:rsidRDefault="00EF7C0F" w:rsidP="00EF7C0F">
      <w:pPr>
        <w:pStyle w:val="Prrafodelista"/>
        <w:rPr>
          <w:rFonts w:ascii="Verdana" w:hAnsi="Verdana"/>
        </w:rPr>
      </w:pPr>
    </w:p>
    <w:p w:rsidR="00EF7C0F" w:rsidRPr="00492784" w:rsidRDefault="00827CE9" w:rsidP="005D7211">
      <w:pPr>
        <w:pStyle w:val="Prrafodelista"/>
        <w:numPr>
          <w:ilvl w:val="0"/>
          <w:numId w:val="5"/>
        </w:numPr>
        <w:spacing w:line="360" w:lineRule="auto"/>
        <w:jc w:val="both"/>
        <w:rPr>
          <w:rFonts w:ascii="Verdana" w:hAnsi="Verdana"/>
        </w:rPr>
      </w:pPr>
      <w:r w:rsidRPr="00492784">
        <w:rPr>
          <w:rFonts w:ascii="Verdana" w:hAnsi="Verdana"/>
          <w:b/>
          <w:color w:val="7030A0"/>
        </w:rPr>
        <w:t>Por relación con la actividad</w:t>
      </w:r>
      <w:r w:rsidRPr="00492784">
        <w:rPr>
          <w:rFonts w:ascii="Verdana" w:hAnsi="Verdana"/>
        </w:rPr>
        <w:t xml:space="preserve">: los </w:t>
      </w:r>
      <w:r w:rsidRPr="00492784">
        <w:rPr>
          <w:rFonts w:ascii="Verdana" w:hAnsi="Verdana"/>
          <w:b/>
        </w:rPr>
        <w:t>desempleados</w:t>
      </w:r>
      <w:r w:rsidRPr="00492784">
        <w:rPr>
          <w:rFonts w:ascii="Verdana" w:hAnsi="Verdana"/>
        </w:rPr>
        <w:t xml:space="preserve"> sufren </w:t>
      </w:r>
      <w:r w:rsidRPr="00492784">
        <w:rPr>
          <w:rFonts w:ascii="Verdana" w:hAnsi="Verdana"/>
          <w:b/>
        </w:rPr>
        <w:t>mayores niveles de pobreza</w:t>
      </w:r>
      <w:r w:rsidRPr="00492784">
        <w:rPr>
          <w:rFonts w:ascii="Verdana" w:hAnsi="Verdana"/>
        </w:rPr>
        <w:t xml:space="preserve"> con una tasa </w:t>
      </w:r>
      <w:r w:rsidR="00492784" w:rsidRPr="00492784">
        <w:rPr>
          <w:rFonts w:ascii="Verdana" w:hAnsi="Verdana"/>
        </w:rPr>
        <w:t>en torno</w:t>
      </w:r>
      <w:r w:rsidRPr="00492784">
        <w:rPr>
          <w:rFonts w:ascii="Verdana" w:hAnsi="Verdana"/>
        </w:rPr>
        <w:t xml:space="preserve"> </w:t>
      </w:r>
      <w:r w:rsidR="00492784" w:rsidRPr="00492784">
        <w:rPr>
          <w:rFonts w:ascii="Verdana" w:hAnsi="Verdana"/>
        </w:rPr>
        <w:t>al 55</w:t>
      </w:r>
      <w:r w:rsidRPr="00492784">
        <w:rPr>
          <w:rFonts w:ascii="Verdana" w:hAnsi="Verdana"/>
        </w:rPr>
        <w:t>%.</w:t>
      </w:r>
      <w:r w:rsidR="00CB52B8" w:rsidRPr="00492784">
        <w:rPr>
          <w:rFonts w:ascii="Verdana" w:hAnsi="Verdana"/>
        </w:rPr>
        <w:t xml:space="preserve"> </w:t>
      </w:r>
    </w:p>
    <w:p w:rsidR="00CB52B8" w:rsidRPr="00F05FD6" w:rsidRDefault="00CB52B8" w:rsidP="00CB52B8">
      <w:pPr>
        <w:pStyle w:val="Prrafodelista"/>
        <w:rPr>
          <w:rFonts w:ascii="Verdana" w:hAnsi="Verdana"/>
          <w:highlight w:val="yellow"/>
        </w:rPr>
      </w:pPr>
    </w:p>
    <w:p w:rsidR="00CB52B8" w:rsidRPr="00492784" w:rsidRDefault="00CB52B8" w:rsidP="005D7211">
      <w:pPr>
        <w:pStyle w:val="Prrafodelista"/>
        <w:numPr>
          <w:ilvl w:val="0"/>
          <w:numId w:val="5"/>
        </w:numPr>
        <w:spacing w:line="360" w:lineRule="auto"/>
        <w:jc w:val="both"/>
        <w:rPr>
          <w:rFonts w:ascii="Verdana" w:hAnsi="Verdana"/>
        </w:rPr>
      </w:pPr>
      <w:r w:rsidRPr="00492784">
        <w:rPr>
          <w:rFonts w:ascii="Verdana" w:hAnsi="Verdana"/>
          <w:b/>
          <w:color w:val="7030A0"/>
        </w:rPr>
        <w:t>Por nacionalidad</w:t>
      </w:r>
      <w:r w:rsidRPr="00492784">
        <w:rPr>
          <w:rFonts w:ascii="Verdana" w:hAnsi="Verdana"/>
        </w:rPr>
        <w:t xml:space="preserve">: la </w:t>
      </w:r>
      <w:r w:rsidRPr="00492784">
        <w:rPr>
          <w:rFonts w:ascii="Verdana" w:hAnsi="Verdana"/>
          <w:b/>
        </w:rPr>
        <w:t>población extranjera</w:t>
      </w:r>
      <w:r w:rsidRPr="00492784">
        <w:rPr>
          <w:rFonts w:ascii="Verdana" w:hAnsi="Verdana"/>
        </w:rPr>
        <w:t xml:space="preserve"> es la </w:t>
      </w:r>
      <w:r w:rsidRPr="00492784">
        <w:rPr>
          <w:rFonts w:ascii="Verdana" w:hAnsi="Verdana"/>
          <w:b/>
        </w:rPr>
        <w:t>más afectada</w:t>
      </w:r>
      <w:r w:rsidRPr="00492784">
        <w:rPr>
          <w:rFonts w:ascii="Verdana" w:hAnsi="Verdana"/>
        </w:rPr>
        <w:t xml:space="preserve"> por la lacra de la pobreza </w:t>
      </w:r>
      <w:r w:rsidR="00492784" w:rsidRPr="00492784">
        <w:rPr>
          <w:rFonts w:ascii="Verdana" w:hAnsi="Verdana"/>
        </w:rPr>
        <w:t xml:space="preserve">y especialmente la extranjera del </w:t>
      </w:r>
      <w:r w:rsidR="00492784" w:rsidRPr="00C75B27">
        <w:rPr>
          <w:rFonts w:ascii="Verdana" w:hAnsi="Verdana"/>
          <w:i/>
        </w:rPr>
        <w:t>resto del mundo</w:t>
      </w:r>
      <w:r w:rsidR="00492784" w:rsidRPr="00492784">
        <w:rPr>
          <w:rFonts w:ascii="Verdana" w:hAnsi="Verdana"/>
        </w:rPr>
        <w:t xml:space="preserve"> </w:t>
      </w:r>
      <w:r w:rsidRPr="00492784">
        <w:rPr>
          <w:rFonts w:ascii="Verdana" w:hAnsi="Verdana"/>
        </w:rPr>
        <w:t xml:space="preserve">con una </w:t>
      </w:r>
      <w:r w:rsidRPr="00492784">
        <w:rPr>
          <w:rFonts w:ascii="Verdana" w:hAnsi="Verdana"/>
          <w:b/>
        </w:rPr>
        <w:t xml:space="preserve">tasa del </w:t>
      </w:r>
      <w:r w:rsidR="00492784" w:rsidRPr="00492784">
        <w:rPr>
          <w:rFonts w:ascii="Verdana" w:hAnsi="Verdana"/>
          <w:b/>
        </w:rPr>
        <w:t>58</w:t>
      </w:r>
      <w:r w:rsidRPr="00492784">
        <w:rPr>
          <w:rFonts w:ascii="Verdana" w:hAnsi="Verdana"/>
          <w:b/>
        </w:rPr>
        <w:t>%</w:t>
      </w:r>
      <w:r w:rsidRPr="00492784">
        <w:rPr>
          <w:rFonts w:ascii="Verdana" w:hAnsi="Verdana"/>
        </w:rPr>
        <w:t xml:space="preserve"> frente al </w:t>
      </w:r>
      <w:r w:rsidR="00492784" w:rsidRPr="00492784">
        <w:rPr>
          <w:rFonts w:ascii="Verdana" w:hAnsi="Verdana"/>
        </w:rPr>
        <w:t>22,6</w:t>
      </w:r>
      <w:r w:rsidRPr="00492784">
        <w:rPr>
          <w:rFonts w:ascii="Verdana" w:hAnsi="Verdana"/>
        </w:rPr>
        <w:t>% de los españoles.</w:t>
      </w:r>
    </w:p>
    <w:p w:rsidR="00AF3027" w:rsidRDefault="00AF3027" w:rsidP="00351825">
      <w:pPr>
        <w:rPr>
          <w:rFonts w:ascii="Verdana" w:hAnsi="Verdana"/>
          <w:b/>
          <w:color w:val="7030A0"/>
          <w:sz w:val="20"/>
          <w:szCs w:val="20"/>
          <w:highlight w:val="yellow"/>
        </w:rPr>
      </w:pPr>
    </w:p>
    <w:p w:rsidR="005B1528" w:rsidRDefault="005B1528" w:rsidP="00351825">
      <w:pPr>
        <w:rPr>
          <w:rFonts w:ascii="Verdana" w:hAnsi="Verdana"/>
          <w:b/>
          <w:color w:val="7030A0"/>
          <w:sz w:val="20"/>
          <w:szCs w:val="20"/>
          <w:highlight w:val="yellow"/>
        </w:rPr>
      </w:pPr>
    </w:p>
    <w:p w:rsidR="005B1528" w:rsidRPr="00F05FD6" w:rsidRDefault="005B1528" w:rsidP="00351825">
      <w:pPr>
        <w:rPr>
          <w:rFonts w:ascii="Verdana" w:hAnsi="Verdana"/>
          <w:b/>
          <w:color w:val="7030A0"/>
          <w:sz w:val="20"/>
          <w:szCs w:val="20"/>
          <w:highlight w:val="yellow"/>
        </w:rPr>
      </w:pPr>
    </w:p>
    <w:p w:rsidR="00F565B2" w:rsidRPr="00492784" w:rsidRDefault="00F565B2" w:rsidP="00492784">
      <w:pPr>
        <w:pStyle w:val="Prrafodelista"/>
        <w:jc w:val="center"/>
        <w:rPr>
          <w:rFonts w:ascii="Verdana" w:hAnsi="Verdana"/>
          <w:color w:val="7030A0"/>
          <w:sz w:val="20"/>
          <w:szCs w:val="20"/>
        </w:rPr>
      </w:pPr>
      <w:r w:rsidRPr="00353381">
        <w:rPr>
          <w:rFonts w:ascii="Verdana" w:hAnsi="Verdana"/>
          <w:b/>
          <w:color w:val="7030A0"/>
          <w:sz w:val="20"/>
          <w:szCs w:val="20"/>
        </w:rPr>
        <w:t>Cuadro</w:t>
      </w:r>
      <w:r w:rsidRPr="00353381">
        <w:rPr>
          <w:rFonts w:ascii="Verdana" w:hAnsi="Verdana"/>
          <w:color w:val="7030A0"/>
          <w:sz w:val="20"/>
          <w:szCs w:val="20"/>
        </w:rPr>
        <w:t xml:space="preserve">: tasa </w:t>
      </w:r>
      <w:r w:rsidR="00353381" w:rsidRPr="00353381">
        <w:rPr>
          <w:rFonts w:ascii="Verdana" w:hAnsi="Verdana"/>
          <w:color w:val="7030A0"/>
          <w:sz w:val="20"/>
          <w:szCs w:val="20"/>
        </w:rPr>
        <w:t>AROPE</w:t>
      </w:r>
      <w:r w:rsidRPr="00353381">
        <w:rPr>
          <w:rFonts w:ascii="Verdana" w:hAnsi="Verdana"/>
          <w:color w:val="7030A0"/>
          <w:sz w:val="20"/>
          <w:szCs w:val="20"/>
        </w:rPr>
        <w:t xml:space="preserve">. </w:t>
      </w:r>
      <w:r w:rsidR="00353381" w:rsidRPr="00492784">
        <w:rPr>
          <w:rFonts w:ascii="Verdana" w:hAnsi="Verdana"/>
          <w:color w:val="7030A0"/>
          <w:sz w:val="20"/>
          <w:szCs w:val="20"/>
        </w:rPr>
        <w:t>España 2020</w:t>
      </w:r>
    </w:p>
    <w:tbl>
      <w:tblPr>
        <w:tblStyle w:val="Sombreadoclaro-nfasis4"/>
        <w:tblW w:w="6105" w:type="dxa"/>
        <w:jc w:val="center"/>
        <w:tblLook w:val="04A0"/>
      </w:tblPr>
      <w:tblGrid>
        <w:gridCol w:w="5043"/>
        <w:gridCol w:w="1062"/>
      </w:tblGrid>
      <w:tr w:rsidR="00F565B2" w:rsidRPr="00353381" w:rsidTr="00B25DE7">
        <w:trPr>
          <w:cnfStyle w:val="100000000000"/>
          <w:trHeight w:val="255"/>
          <w:jc w:val="center"/>
        </w:trPr>
        <w:tc>
          <w:tcPr>
            <w:cnfStyle w:val="001000000000"/>
            <w:tcW w:w="5043" w:type="dxa"/>
            <w:hideMark/>
          </w:tcPr>
          <w:p w:rsidR="00F565B2" w:rsidRPr="00353381" w:rsidRDefault="00F565B2" w:rsidP="000A01EC">
            <w:pPr>
              <w:spacing w:line="360" w:lineRule="auto"/>
              <w:rPr>
                <w:rFonts w:ascii="Verdana" w:eastAsia="Times New Roman" w:hAnsi="Verdana" w:cs="Arial"/>
                <w:b w:val="0"/>
                <w:bCs w:val="0"/>
                <w:color w:val="333333"/>
                <w:lang w:eastAsia="es-ES"/>
              </w:rPr>
            </w:pPr>
          </w:p>
        </w:tc>
        <w:tc>
          <w:tcPr>
            <w:tcW w:w="1062" w:type="dxa"/>
            <w:noWrap/>
            <w:hideMark/>
          </w:tcPr>
          <w:p w:rsidR="00F565B2" w:rsidRPr="00353381" w:rsidRDefault="00F565B2" w:rsidP="00353381">
            <w:pPr>
              <w:spacing w:line="360" w:lineRule="auto"/>
              <w:jc w:val="center"/>
              <w:cnfStyle w:val="100000000000"/>
              <w:rPr>
                <w:rFonts w:ascii="Verdana" w:eastAsia="Times New Roman" w:hAnsi="Verdana" w:cs="Arial"/>
                <w:lang w:eastAsia="es-ES"/>
              </w:rPr>
            </w:pPr>
            <w:r w:rsidRPr="00353381">
              <w:rPr>
                <w:rFonts w:ascii="Verdana" w:eastAsia="Times New Roman" w:hAnsi="Verdana" w:cs="Arial"/>
                <w:lang w:eastAsia="es-ES"/>
              </w:rPr>
              <w:t>20</w:t>
            </w:r>
            <w:r w:rsidR="00353381" w:rsidRPr="00353381">
              <w:rPr>
                <w:rFonts w:ascii="Verdana" w:eastAsia="Times New Roman" w:hAnsi="Verdana" w:cs="Arial"/>
                <w:lang w:eastAsia="es-ES"/>
              </w:rPr>
              <w:t>20</w:t>
            </w:r>
          </w:p>
        </w:tc>
      </w:tr>
      <w:tr w:rsidR="000A01EC" w:rsidRPr="00353381" w:rsidTr="00B25DE7">
        <w:trPr>
          <w:cnfStyle w:val="000000100000"/>
          <w:trHeight w:val="255"/>
          <w:jc w:val="center"/>
        </w:trPr>
        <w:tc>
          <w:tcPr>
            <w:cnfStyle w:val="001000000000"/>
            <w:tcW w:w="5043" w:type="dxa"/>
            <w:hideMark/>
          </w:tcPr>
          <w:p w:rsidR="000A01EC" w:rsidRPr="00353381" w:rsidRDefault="000A01EC" w:rsidP="000A01EC">
            <w:pPr>
              <w:spacing w:line="360" w:lineRule="auto"/>
              <w:rPr>
                <w:rFonts w:ascii="Verdana" w:hAnsi="Verdana" w:cs="Arial"/>
                <w:bCs w:val="0"/>
                <w:color w:val="7030A0"/>
              </w:rPr>
            </w:pPr>
            <w:r w:rsidRPr="00353381">
              <w:rPr>
                <w:rFonts w:ascii="Verdana" w:hAnsi="Verdana" w:cs="Arial"/>
                <w:bCs w:val="0"/>
                <w:color w:val="7030A0"/>
              </w:rPr>
              <w:t>Por sexo</w:t>
            </w:r>
          </w:p>
        </w:tc>
        <w:tc>
          <w:tcPr>
            <w:tcW w:w="1062" w:type="dxa"/>
            <w:noWrap/>
            <w:vAlign w:val="center"/>
            <w:hideMark/>
          </w:tcPr>
          <w:p w:rsidR="000A01EC" w:rsidRPr="00353381" w:rsidRDefault="000A01EC" w:rsidP="00353381">
            <w:pPr>
              <w:spacing w:line="360" w:lineRule="auto"/>
              <w:jc w:val="center"/>
              <w:cnfStyle w:val="000000100000"/>
              <w:rPr>
                <w:rFonts w:ascii="Verdana" w:hAnsi="Verdana" w:cs="Arial"/>
                <w:b/>
                <w:color w:val="7030A0"/>
              </w:rPr>
            </w:pPr>
            <w:r w:rsidRPr="00353381">
              <w:rPr>
                <w:rFonts w:ascii="Verdana" w:hAnsi="Verdana" w:cs="Arial"/>
                <w:b/>
                <w:color w:val="7030A0"/>
              </w:rPr>
              <w:t>26,</w:t>
            </w:r>
            <w:r w:rsidR="00353381" w:rsidRPr="00353381">
              <w:rPr>
                <w:rFonts w:ascii="Verdana" w:hAnsi="Verdana" w:cs="Arial"/>
                <w:b/>
                <w:color w:val="7030A0"/>
              </w:rPr>
              <w:t>4</w:t>
            </w:r>
          </w:p>
        </w:tc>
      </w:tr>
      <w:tr w:rsidR="000A01EC" w:rsidRPr="00353381" w:rsidTr="00B25DE7">
        <w:trPr>
          <w:trHeight w:val="255"/>
          <w:jc w:val="center"/>
        </w:trPr>
        <w:tc>
          <w:tcPr>
            <w:cnfStyle w:val="001000000000"/>
            <w:tcW w:w="5043" w:type="dxa"/>
            <w:hideMark/>
          </w:tcPr>
          <w:p w:rsidR="000A01EC" w:rsidRPr="00353381" w:rsidRDefault="000A01EC" w:rsidP="000D4F65">
            <w:pPr>
              <w:pStyle w:val="Prrafodelista"/>
              <w:numPr>
                <w:ilvl w:val="0"/>
                <w:numId w:val="4"/>
              </w:numPr>
              <w:spacing w:line="360" w:lineRule="auto"/>
              <w:rPr>
                <w:rFonts w:ascii="Verdana" w:hAnsi="Verdana" w:cs="Arial"/>
                <w:b w:val="0"/>
                <w:color w:val="7030A0"/>
              </w:rPr>
            </w:pPr>
            <w:r w:rsidRPr="00353381">
              <w:rPr>
                <w:rFonts w:ascii="Verdana" w:hAnsi="Verdana" w:cs="Arial"/>
                <w:b w:val="0"/>
                <w:color w:val="7030A0"/>
              </w:rPr>
              <w:t>Hombres</w:t>
            </w:r>
          </w:p>
        </w:tc>
        <w:tc>
          <w:tcPr>
            <w:tcW w:w="1062" w:type="dxa"/>
            <w:noWrap/>
            <w:vAlign w:val="center"/>
            <w:hideMark/>
          </w:tcPr>
          <w:p w:rsidR="000A01EC" w:rsidRPr="00353381" w:rsidRDefault="00353381" w:rsidP="000A01EC">
            <w:pPr>
              <w:spacing w:line="360" w:lineRule="auto"/>
              <w:jc w:val="center"/>
              <w:cnfStyle w:val="000000000000"/>
              <w:rPr>
                <w:rFonts w:ascii="Verdana" w:hAnsi="Verdana" w:cs="Arial"/>
                <w:color w:val="333333"/>
              </w:rPr>
            </w:pPr>
            <w:r w:rsidRPr="00353381">
              <w:rPr>
                <w:rFonts w:ascii="Verdana" w:hAnsi="Verdana" w:cs="Arial"/>
                <w:color w:val="333333"/>
              </w:rPr>
              <w:t>25,6</w:t>
            </w:r>
          </w:p>
        </w:tc>
      </w:tr>
      <w:tr w:rsidR="000A01EC" w:rsidRPr="00F05FD6" w:rsidTr="00B25DE7">
        <w:trPr>
          <w:cnfStyle w:val="000000100000"/>
          <w:trHeight w:val="255"/>
          <w:jc w:val="center"/>
        </w:trPr>
        <w:tc>
          <w:tcPr>
            <w:cnfStyle w:val="001000000000"/>
            <w:tcW w:w="5043" w:type="dxa"/>
            <w:hideMark/>
          </w:tcPr>
          <w:p w:rsidR="000A01EC" w:rsidRPr="00353381" w:rsidRDefault="000A01EC" w:rsidP="000D4F65">
            <w:pPr>
              <w:pStyle w:val="Prrafodelista"/>
              <w:numPr>
                <w:ilvl w:val="0"/>
                <w:numId w:val="4"/>
              </w:numPr>
              <w:spacing w:line="360" w:lineRule="auto"/>
              <w:rPr>
                <w:rFonts w:ascii="Verdana" w:hAnsi="Verdana" w:cs="Arial"/>
                <w:b w:val="0"/>
                <w:color w:val="7030A0"/>
              </w:rPr>
            </w:pPr>
            <w:r w:rsidRPr="00353381">
              <w:rPr>
                <w:rFonts w:ascii="Verdana" w:hAnsi="Verdana" w:cs="Arial"/>
                <w:b w:val="0"/>
                <w:color w:val="7030A0"/>
              </w:rPr>
              <w:t>Mujeres</w:t>
            </w:r>
          </w:p>
        </w:tc>
        <w:tc>
          <w:tcPr>
            <w:tcW w:w="1062" w:type="dxa"/>
            <w:noWrap/>
            <w:vAlign w:val="center"/>
            <w:hideMark/>
          </w:tcPr>
          <w:p w:rsidR="000A01EC" w:rsidRPr="00353381" w:rsidRDefault="00353381" w:rsidP="000A01EC">
            <w:pPr>
              <w:spacing w:line="360" w:lineRule="auto"/>
              <w:jc w:val="center"/>
              <w:cnfStyle w:val="000000100000"/>
              <w:rPr>
                <w:rFonts w:ascii="Verdana" w:hAnsi="Verdana" w:cs="Arial"/>
                <w:color w:val="333333"/>
              </w:rPr>
            </w:pPr>
            <w:r w:rsidRPr="00353381">
              <w:rPr>
                <w:rFonts w:ascii="Verdana" w:hAnsi="Verdana" w:cs="Arial"/>
                <w:color w:val="333333"/>
              </w:rPr>
              <w:t>27,2</w:t>
            </w:r>
          </w:p>
        </w:tc>
      </w:tr>
      <w:tr w:rsidR="000A01EC" w:rsidRPr="00F05FD6" w:rsidTr="00B25DE7">
        <w:trPr>
          <w:trHeight w:val="255"/>
          <w:jc w:val="center"/>
        </w:trPr>
        <w:tc>
          <w:tcPr>
            <w:cnfStyle w:val="001000000000"/>
            <w:tcW w:w="5043" w:type="dxa"/>
            <w:hideMark/>
          </w:tcPr>
          <w:p w:rsidR="000A01EC" w:rsidRPr="00492784" w:rsidRDefault="000A01EC" w:rsidP="000A01EC">
            <w:pPr>
              <w:spacing w:line="360" w:lineRule="auto"/>
              <w:rPr>
                <w:rFonts w:ascii="Verdana" w:hAnsi="Verdana" w:cs="Arial"/>
                <w:bCs w:val="0"/>
                <w:color w:val="7030A0"/>
              </w:rPr>
            </w:pPr>
            <w:r w:rsidRPr="00492784">
              <w:rPr>
                <w:rFonts w:ascii="Verdana" w:hAnsi="Verdana" w:cs="Arial"/>
                <w:bCs w:val="0"/>
                <w:color w:val="7030A0"/>
              </w:rPr>
              <w:t>Por edades</w:t>
            </w:r>
          </w:p>
        </w:tc>
        <w:tc>
          <w:tcPr>
            <w:tcW w:w="1062" w:type="dxa"/>
            <w:noWrap/>
            <w:vAlign w:val="center"/>
            <w:hideMark/>
          </w:tcPr>
          <w:p w:rsidR="000A01EC" w:rsidRPr="00492784" w:rsidRDefault="000A01EC" w:rsidP="00D71198">
            <w:pPr>
              <w:spacing w:line="360" w:lineRule="auto"/>
              <w:jc w:val="center"/>
              <w:cnfStyle w:val="000000000000"/>
              <w:rPr>
                <w:rFonts w:ascii="Verdana" w:hAnsi="Verdana" w:cs="Arial"/>
                <w:b/>
                <w:color w:val="7030A0"/>
              </w:rPr>
            </w:pPr>
            <w:r w:rsidRPr="00492784">
              <w:rPr>
                <w:rFonts w:ascii="Verdana" w:hAnsi="Verdana" w:cs="Arial"/>
                <w:b/>
                <w:color w:val="7030A0"/>
              </w:rPr>
              <w:t>26,</w:t>
            </w:r>
            <w:r w:rsidR="00D71198" w:rsidRPr="00492784">
              <w:rPr>
                <w:rFonts w:ascii="Verdana" w:hAnsi="Verdana" w:cs="Arial"/>
                <w:b/>
                <w:color w:val="7030A0"/>
              </w:rPr>
              <w:t>4</w:t>
            </w:r>
          </w:p>
        </w:tc>
      </w:tr>
      <w:tr w:rsidR="000A01EC" w:rsidRPr="00F05FD6" w:rsidTr="00B25DE7">
        <w:trPr>
          <w:cnfStyle w:val="000000100000"/>
          <w:trHeight w:val="255"/>
          <w:jc w:val="center"/>
        </w:trPr>
        <w:tc>
          <w:tcPr>
            <w:cnfStyle w:val="001000000000"/>
            <w:tcW w:w="5043" w:type="dxa"/>
            <w:hideMark/>
          </w:tcPr>
          <w:p w:rsidR="000A01EC" w:rsidRPr="00492784" w:rsidRDefault="000A01EC" w:rsidP="000D4F65">
            <w:pPr>
              <w:pStyle w:val="Prrafodelista"/>
              <w:numPr>
                <w:ilvl w:val="0"/>
                <w:numId w:val="4"/>
              </w:numPr>
              <w:spacing w:line="360" w:lineRule="auto"/>
              <w:jc w:val="both"/>
              <w:rPr>
                <w:rFonts w:ascii="Verdana" w:hAnsi="Verdana"/>
                <w:b w:val="0"/>
                <w:color w:val="7030A0"/>
              </w:rPr>
            </w:pPr>
            <w:r w:rsidRPr="00492784">
              <w:rPr>
                <w:rFonts w:ascii="Verdana" w:hAnsi="Verdana"/>
                <w:b w:val="0"/>
                <w:color w:val="7030A0"/>
              </w:rPr>
              <w:t>Menores 16 años</w:t>
            </w:r>
          </w:p>
        </w:tc>
        <w:tc>
          <w:tcPr>
            <w:tcW w:w="1062" w:type="dxa"/>
            <w:noWrap/>
            <w:hideMark/>
          </w:tcPr>
          <w:p w:rsidR="000A01EC" w:rsidRPr="00492784" w:rsidRDefault="00492784" w:rsidP="007F3B6F">
            <w:pPr>
              <w:spacing w:line="360" w:lineRule="auto"/>
              <w:jc w:val="center"/>
              <w:cnfStyle w:val="000000100000"/>
              <w:rPr>
                <w:rFonts w:ascii="Verdana" w:hAnsi="Verdana" w:cs="Arial"/>
                <w:color w:val="333333"/>
              </w:rPr>
            </w:pPr>
            <w:r w:rsidRPr="00492784">
              <w:rPr>
                <w:rFonts w:ascii="Verdana" w:hAnsi="Verdana" w:cs="Arial"/>
                <w:color w:val="333333"/>
              </w:rPr>
              <w:t>31,2</w:t>
            </w:r>
          </w:p>
        </w:tc>
      </w:tr>
      <w:tr w:rsidR="000A01EC" w:rsidRPr="00F05FD6" w:rsidTr="00B25DE7">
        <w:trPr>
          <w:trHeight w:val="255"/>
          <w:jc w:val="center"/>
        </w:trPr>
        <w:tc>
          <w:tcPr>
            <w:cnfStyle w:val="001000000000"/>
            <w:tcW w:w="5043" w:type="dxa"/>
            <w:hideMark/>
          </w:tcPr>
          <w:p w:rsidR="000A01EC" w:rsidRPr="00492784" w:rsidRDefault="000D4F65" w:rsidP="000A01EC">
            <w:pPr>
              <w:spacing w:line="360" w:lineRule="auto"/>
              <w:jc w:val="both"/>
              <w:rPr>
                <w:rFonts w:ascii="Verdana" w:hAnsi="Verdana"/>
                <w:b w:val="0"/>
                <w:i/>
                <w:color w:val="7030A0"/>
              </w:rPr>
            </w:pPr>
            <w:r w:rsidRPr="00492784">
              <w:rPr>
                <w:rFonts w:ascii="Verdana" w:hAnsi="Verdana"/>
                <w:b w:val="0"/>
                <w:i/>
                <w:color w:val="7030A0"/>
              </w:rPr>
              <w:t xml:space="preserve">              </w:t>
            </w:r>
            <w:r w:rsidR="000A01EC" w:rsidRPr="00492784">
              <w:rPr>
                <w:rFonts w:ascii="Verdana" w:hAnsi="Verdana"/>
                <w:b w:val="0"/>
                <w:i/>
                <w:color w:val="7030A0"/>
              </w:rPr>
              <w:t>De 16 a 29 años</w:t>
            </w:r>
          </w:p>
        </w:tc>
        <w:tc>
          <w:tcPr>
            <w:tcW w:w="1062" w:type="dxa"/>
            <w:noWrap/>
            <w:hideMark/>
          </w:tcPr>
          <w:p w:rsidR="000A01EC" w:rsidRPr="00492784" w:rsidRDefault="00492784" w:rsidP="007F3B6F">
            <w:pPr>
              <w:spacing w:line="360" w:lineRule="auto"/>
              <w:jc w:val="center"/>
              <w:cnfStyle w:val="000000000000"/>
              <w:rPr>
                <w:rFonts w:ascii="Verdana" w:hAnsi="Verdana" w:cs="Arial"/>
                <w:i/>
                <w:color w:val="333333"/>
              </w:rPr>
            </w:pPr>
            <w:r w:rsidRPr="00492784">
              <w:rPr>
                <w:rFonts w:ascii="Verdana" w:hAnsi="Verdana" w:cs="Arial"/>
                <w:i/>
                <w:color w:val="333333"/>
              </w:rPr>
              <w:t>30,3</w:t>
            </w:r>
          </w:p>
        </w:tc>
      </w:tr>
      <w:tr w:rsidR="000A01EC" w:rsidRPr="00F05FD6" w:rsidTr="00B25DE7">
        <w:trPr>
          <w:cnfStyle w:val="000000100000"/>
          <w:trHeight w:val="255"/>
          <w:jc w:val="center"/>
        </w:trPr>
        <w:tc>
          <w:tcPr>
            <w:cnfStyle w:val="001000000000"/>
            <w:tcW w:w="5043" w:type="dxa"/>
            <w:hideMark/>
          </w:tcPr>
          <w:p w:rsidR="000A01EC" w:rsidRPr="00492784" w:rsidRDefault="000D4F65" w:rsidP="000A01EC">
            <w:pPr>
              <w:spacing w:line="360" w:lineRule="auto"/>
              <w:jc w:val="both"/>
              <w:rPr>
                <w:rFonts w:ascii="Verdana" w:hAnsi="Verdana"/>
                <w:b w:val="0"/>
                <w:i/>
                <w:color w:val="7030A0"/>
              </w:rPr>
            </w:pPr>
            <w:r w:rsidRPr="00492784">
              <w:rPr>
                <w:rFonts w:ascii="Verdana" w:hAnsi="Verdana"/>
                <w:b w:val="0"/>
                <w:i/>
                <w:color w:val="7030A0"/>
              </w:rPr>
              <w:t xml:space="preserve">              </w:t>
            </w:r>
            <w:r w:rsidR="000A01EC" w:rsidRPr="00492784">
              <w:rPr>
                <w:rFonts w:ascii="Verdana" w:hAnsi="Verdana"/>
                <w:b w:val="0"/>
                <w:i/>
                <w:color w:val="7030A0"/>
              </w:rPr>
              <w:t>De 30 a 44 años</w:t>
            </w:r>
          </w:p>
        </w:tc>
        <w:tc>
          <w:tcPr>
            <w:tcW w:w="1062" w:type="dxa"/>
            <w:noWrap/>
            <w:hideMark/>
          </w:tcPr>
          <w:p w:rsidR="000A01EC" w:rsidRPr="00492784" w:rsidRDefault="00492784" w:rsidP="007F3B6F">
            <w:pPr>
              <w:spacing w:line="360" w:lineRule="auto"/>
              <w:jc w:val="center"/>
              <w:cnfStyle w:val="000000100000"/>
              <w:rPr>
                <w:rFonts w:ascii="Verdana" w:hAnsi="Verdana" w:cs="Arial"/>
                <w:i/>
                <w:color w:val="333333"/>
              </w:rPr>
            </w:pPr>
            <w:r w:rsidRPr="00492784">
              <w:rPr>
                <w:rFonts w:ascii="Verdana" w:hAnsi="Verdana" w:cs="Arial"/>
                <w:i/>
                <w:color w:val="333333"/>
              </w:rPr>
              <w:t>25,6</w:t>
            </w:r>
          </w:p>
        </w:tc>
      </w:tr>
      <w:tr w:rsidR="000A01EC" w:rsidRPr="00F05FD6" w:rsidTr="00B25DE7">
        <w:trPr>
          <w:trHeight w:val="255"/>
          <w:jc w:val="center"/>
        </w:trPr>
        <w:tc>
          <w:tcPr>
            <w:cnfStyle w:val="001000000000"/>
            <w:tcW w:w="5043" w:type="dxa"/>
            <w:hideMark/>
          </w:tcPr>
          <w:p w:rsidR="000A01EC" w:rsidRPr="00492784" w:rsidRDefault="000D4F65" w:rsidP="000A01EC">
            <w:pPr>
              <w:spacing w:line="360" w:lineRule="auto"/>
              <w:jc w:val="both"/>
              <w:rPr>
                <w:rFonts w:ascii="Verdana" w:hAnsi="Verdana"/>
                <w:b w:val="0"/>
                <w:i/>
                <w:color w:val="7030A0"/>
              </w:rPr>
            </w:pPr>
            <w:r w:rsidRPr="00492784">
              <w:rPr>
                <w:rFonts w:ascii="Verdana" w:hAnsi="Verdana"/>
                <w:b w:val="0"/>
                <w:i/>
                <w:color w:val="7030A0"/>
              </w:rPr>
              <w:t xml:space="preserve">              </w:t>
            </w:r>
            <w:r w:rsidR="000A01EC" w:rsidRPr="00492784">
              <w:rPr>
                <w:rFonts w:ascii="Verdana" w:hAnsi="Verdana"/>
                <w:b w:val="0"/>
                <w:i/>
                <w:color w:val="7030A0"/>
              </w:rPr>
              <w:t>De 45 a 64 años</w:t>
            </w:r>
          </w:p>
        </w:tc>
        <w:tc>
          <w:tcPr>
            <w:tcW w:w="1062" w:type="dxa"/>
            <w:noWrap/>
            <w:hideMark/>
          </w:tcPr>
          <w:p w:rsidR="000A01EC" w:rsidRPr="00492784" w:rsidRDefault="00492784" w:rsidP="007F3B6F">
            <w:pPr>
              <w:spacing w:line="360" w:lineRule="auto"/>
              <w:jc w:val="center"/>
              <w:cnfStyle w:val="000000000000"/>
              <w:rPr>
                <w:rFonts w:ascii="Verdana" w:hAnsi="Verdana" w:cs="Arial"/>
                <w:i/>
                <w:color w:val="333333"/>
              </w:rPr>
            </w:pPr>
            <w:r w:rsidRPr="00492784">
              <w:rPr>
                <w:rFonts w:ascii="Verdana" w:hAnsi="Verdana" w:cs="Arial"/>
                <w:i/>
                <w:color w:val="333333"/>
              </w:rPr>
              <w:t>26,4</w:t>
            </w:r>
          </w:p>
        </w:tc>
      </w:tr>
      <w:tr w:rsidR="000A01EC" w:rsidRPr="00F05FD6" w:rsidTr="00B25DE7">
        <w:trPr>
          <w:cnfStyle w:val="000000100000"/>
          <w:trHeight w:val="255"/>
          <w:jc w:val="center"/>
        </w:trPr>
        <w:tc>
          <w:tcPr>
            <w:cnfStyle w:val="001000000000"/>
            <w:tcW w:w="5043" w:type="dxa"/>
            <w:hideMark/>
          </w:tcPr>
          <w:p w:rsidR="000A01EC" w:rsidRPr="00492784" w:rsidRDefault="000A01EC" w:rsidP="000D4F65">
            <w:pPr>
              <w:pStyle w:val="Prrafodelista"/>
              <w:numPr>
                <w:ilvl w:val="0"/>
                <w:numId w:val="4"/>
              </w:numPr>
              <w:spacing w:line="360" w:lineRule="auto"/>
              <w:jc w:val="both"/>
              <w:rPr>
                <w:rFonts w:ascii="Verdana" w:hAnsi="Verdana"/>
                <w:b w:val="0"/>
                <w:color w:val="7030A0"/>
              </w:rPr>
            </w:pPr>
            <w:r w:rsidRPr="00492784">
              <w:rPr>
                <w:rFonts w:ascii="Verdana" w:hAnsi="Verdana"/>
                <w:b w:val="0"/>
                <w:color w:val="7030A0"/>
              </w:rPr>
              <w:t>65 y más años</w:t>
            </w:r>
          </w:p>
        </w:tc>
        <w:tc>
          <w:tcPr>
            <w:tcW w:w="1062" w:type="dxa"/>
            <w:noWrap/>
            <w:hideMark/>
          </w:tcPr>
          <w:p w:rsidR="000A01EC" w:rsidRPr="00492784" w:rsidRDefault="00492784" w:rsidP="007F3B6F">
            <w:pPr>
              <w:spacing w:line="360" w:lineRule="auto"/>
              <w:jc w:val="center"/>
              <w:cnfStyle w:val="000000100000"/>
              <w:rPr>
                <w:rFonts w:ascii="Verdana" w:hAnsi="Verdana" w:cs="Arial"/>
                <w:color w:val="333333"/>
              </w:rPr>
            </w:pPr>
            <w:r w:rsidRPr="00492784">
              <w:rPr>
                <w:rFonts w:ascii="Verdana" w:hAnsi="Verdana" w:cs="Arial"/>
                <w:color w:val="333333"/>
              </w:rPr>
              <w:t>20,5</w:t>
            </w:r>
          </w:p>
        </w:tc>
      </w:tr>
      <w:tr w:rsidR="000A01EC" w:rsidRPr="00F05FD6" w:rsidTr="00B25DE7">
        <w:trPr>
          <w:trHeight w:val="255"/>
          <w:jc w:val="center"/>
        </w:trPr>
        <w:tc>
          <w:tcPr>
            <w:cnfStyle w:val="001000000000"/>
            <w:tcW w:w="5043" w:type="dxa"/>
            <w:hideMark/>
          </w:tcPr>
          <w:p w:rsidR="000A01EC" w:rsidRPr="00492784" w:rsidRDefault="000A01EC" w:rsidP="000A01EC">
            <w:pPr>
              <w:spacing w:line="360" w:lineRule="auto"/>
              <w:rPr>
                <w:rFonts w:ascii="Verdana" w:hAnsi="Verdana" w:cs="Arial"/>
                <w:bCs w:val="0"/>
                <w:color w:val="7030A0"/>
              </w:rPr>
            </w:pPr>
            <w:r w:rsidRPr="00492784">
              <w:rPr>
                <w:rFonts w:ascii="Verdana" w:hAnsi="Verdana" w:cs="Arial"/>
                <w:bCs w:val="0"/>
                <w:color w:val="7030A0"/>
              </w:rPr>
              <w:t>Por nivel de formación</w:t>
            </w:r>
          </w:p>
        </w:tc>
        <w:tc>
          <w:tcPr>
            <w:tcW w:w="1062" w:type="dxa"/>
            <w:noWrap/>
            <w:vAlign w:val="center"/>
            <w:hideMark/>
          </w:tcPr>
          <w:p w:rsidR="000A01EC" w:rsidRPr="00492784" w:rsidRDefault="00492784" w:rsidP="000A01EC">
            <w:pPr>
              <w:spacing w:line="360" w:lineRule="auto"/>
              <w:jc w:val="center"/>
              <w:cnfStyle w:val="000000000000"/>
              <w:rPr>
                <w:rFonts w:ascii="Verdana" w:hAnsi="Verdana" w:cs="Arial"/>
                <w:b/>
                <w:color w:val="7030A0"/>
              </w:rPr>
            </w:pPr>
            <w:r w:rsidRPr="00492784">
              <w:rPr>
                <w:rFonts w:ascii="Verdana" w:hAnsi="Verdana" w:cs="Arial"/>
                <w:b/>
                <w:color w:val="7030A0"/>
              </w:rPr>
              <w:t>26,4</w:t>
            </w:r>
          </w:p>
        </w:tc>
      </w:tr>
      <w:tr w:rsidR="000A01EC" w:rsidRPr="00F05FD6" w:rsidTr="00B25DE7">
        <w:trPr>
          <w:cnfStyle w:val="000000100000"/>
          <w:trHeight w:val="255"/>
          <w:jc w:val="center"/>
        </w:trPr>
        <w:tc>
          <w:tcPr>
            <w:cnfStyle w:val="001000000000"/>
            <w:tcW w:w="5043" w:type="dxa"/>
            <w:hideMark/>
          </w:tcPr>
          <w:p w:rsidR="000A01EC" w:rsidRPr="00492784" w:rsidRDefault="000A01EC" w:rsidP="000D4F65">
            <w:pPr>
              <w:pStyle w:val="Prrafodelista"/>
              <w:numPr>
                <w:ilvl w:val="0"/>
                <w:numId w:val="4"/>
              </w:numPr>
              <w:spacing w:line="360" w:lineRule="auto"/>
              <w:rPr>
                <w:rFonts w:ascii="Verdana" w:hAnsi="Verdana" w:cs="Arial"/>
                <w:b w:val="0"/>
                <w:bCs w:val="0"/>
                <w:color w:val="7030A0"/>
              </w:rPr>
            </w:pPr>
            <w:r w:rsidRPr="00492784">
              <w:rPr>
                <w:rFonts w:ascii="Verdana" w:hAnsi="Verdana" w:cs="Arial"/>
                <w:b w:val="0"/>
                <w:color w:val="7030A0"/>
              </w:rPr>
              <w:t>Educación primaria o inferior</w:t>
            </w:r>
          </w:p>
        </w:tc>
        <w:tc>
          <w:tcPr>
            <w:tcW w:w="1062" w:type="dxa"/>
            <w:noWrap/>
            <w:vAlign w:val="center"/>
            <w:hideMark/>
          </w:tcPr>
          <w:p w:rsidR="000A01EC" w:rsidRPr="00492784" w:rsidRDefault="00492784" w:rsidP="000A01EC">
            <w:pPr>
              <w:spacing w:line="360" w:lineRule="auto"/>
              <w:jc w:val="center"/>
              <w:cnfStyle w:val="000000100000"/>
              <w:rPr>
                <w:rFonts w:ascii="Verdana" w:hAnsi="Verdana" w:cs="Arial"/>
                <w:color w:val="333333"/>
              </w:rPr>
            </w:pPr>
            <w:r w:rsidRPr="00492784">
              <w:rPr>
                <w:rFonts w:ascii="Verdana" w:hAnsi="Verdana" w:cs="Arial"/>
                <w:color w:val="333333"/>
              </w:rPr>
              <w:t>36</w:t>
            </w:r>
            <w:r w:rsidR="000A01EC" w:rsidRPr="00492784">
              <w:rPr>
                <w:rFonts w:ascii="Verdana" w:hAnsi="Verdana" w:cs="Arial"/>
                <w:color w:val="333333"/>
              </w:rPr>
              <w:t>,0</w:t>
            </w:r>
          </w:p>
        </w:tc>
      </w:tr>
      <w:tr w:rsidR="000D4F65" w:rsidRPr="00F05FD6" w:rsidTr="00B25DE7">
        <w:trPr>
          <w:trHeight w:val="255"/>
          <w:jc w:val="center"/>
        </w:trPr>
        <w:tc>
          <w:tcPr>
            <w:cnfStyle w:val="001000000000"/>
            <w:tcW w:w="5043" w:type="dxa"/>
            <w:hideMark/>
          </w:tcPr>
          <w:p w:rsidR="000A01EC" w:rsidRPr="00492784" w:rsidRDefault="000A01EC" w:rsidP="000D4F65">
            <w:pPr>
              <w:pStyle w:val="Prrafodelista"/>
              <w:numPr>
                <w:ilvl w:val="0"/>
                <w:numId w:val="4"/>
              </w:numPr>
              <w:spacing w:line="360" w:lineRule="auto"/>
              <w:rPr>
                <w:rFonts w:ascii="Verdana" w:hAnsi="Verdana" w:cs="Arial"/>
                <w:b w:val="0"/>
                <w:bCs w:val="0"/>
                <w:color w:val="7030A0"/>
              </w:rPr>
            </w:pPr>
            <w:r w:rsidRPr="00492784">
              <w:rPr>
                <w:rFonts w:ascii="Verdana" w:hAnsi="Verdana" w:cs="Arial"/>
                <w:b w:val="0"/>
                <w:color w:val="7030A0"/>
              </w:rPr>
              <w:t>Educación secundaria primera etapa</w:t>
            </w:r>
          </w:p>
        </w:tc>
        <w:tc>
          <w:tcPr>
            <w:tcW w:w="1062" w:type="dxa"/>
            <w:noWrap/>
            <w:vAlign w:val="center"/>
            <w:hideMark/>
          </w:tcPr>
          <w:p w:rsidR="000A01EC" w:rsidRPr="00492784" w:rsidRDefault="00492784" w:rsidP="000A01EC">
            <w:pPr>
              <w:spacing w:line="360" w:lineRule="auto"/>
              <w:jc w:val="center"/>
              <w:cnfStyle w:val="000000000000"/>
              <w:rPr>
                <w:rFonts w:ascii="Verdana" w:hAnsi="Verdana" w:cs="Arial"/>
                <w:color w:val="333333"/>
              </w:rPr>
            </w:pPr>
            <w:r w:rsidRPr="00492784">
              <w:rPr>
                <w:rFonts w:ascii="Verdana" w:hAnsi="Verdana" w:cs="Arial"/>
                <w:color w:val="333333"/>
              </w:rPr>
              <w:t>32</w:t>
            </w:r>
            <w:r w:rsidR="000A01EC" w:rsidRPr="00492784">
              <w:rPr>
                <w:rFonts w:ascii="Verdana" w:hAnsi="Verdana" w:cs="Arial"/>
                <w:color w:val="333333"/>
              </w:rPr>
              <w:t>,5</w:t>
            </w:r>
          </w:p>
        </w:tc>
      </w:tr>
      <w:tr w:rsidR="000A01EC" w:rsidRPr="00F05FD6" w:rsidTr="00B25DE7">
        <w:trPr>
          <w:cnfStyle w:val="000000100000"/>
          <w:trHeight w:val="255"/>
          <w:jc w:val="center"/>
        </w:trPr>
        <w:tc>
          <w:tcPr>
            <w:cnfStyle w:val="001000000000"/>
            <w:tcW w:w="5043" w:type="dxa"/>
            <w:hideMark/>
          </w:tcPr>
          <w:p w:rsidR="000A01EC" w:rsidRPr="00492784" w:rsidRDefault="000A01EC" w:rsidP="000D4F65">
            <w:pPr>
              <w:pStyle w:val="Prrafodelista"/>
              <w:numPr>
                <w:ilvl w:val="0"/>
                <w:numId w:val="4"/>
              </w:numPr>
              <w:spacing w:line="360" w:lineRule="auto"/>
              <w:rPr>
                <w:rFonts w:ascii="Verdana" w:hAnsi="Verdana" w:cs="Arial"/>
                <w:b w:val="0"/>
                <w:bCs w:val="0"/>
                <w:color w:val="7030A0"/>
              </w:rPr>
            </w:pPr>
            <w:r w:rsidRPr="00492784">
              <w:rPr>
                <w:rFonts w:ascii="Verdana" w:hAnsi="Verdana" w:cs="Arial"/>
                <w:b w:val="0"/>
                <w:color w:val="7030A0"/>
              </w:rPr>
              <w:t>Educación secundaria segunda etapa</w:t>
            </w:r>
          </w:p>
        </w:tc>
        <w:tc>
          <w:tcPr>
            <w:tcW w:w="1062" w:type="dxa"/>
            <w:noWrap/>
            <w:vAlign w:val="center"/>
            <w:hideMark/>
          </w:tcPr>
          <w:p w:rsidR="000A01EC" w:rsidRPr="00492784" w:rsidRDefault="00492784" w:rsidP="000A01EC">
            <w:pPr>
              <w:spacing w:line="360" w:lineRule="auto"/>
              <w:jc w:val="center"/>
              <w:cnfStyle w:val="000000100000"/>
              <w:rPr>
                <w:rFonts w:ascii="Verdana" w:hAnsi="Verdana" w:cs="Arial"/>
                <w:color w:val="333333"/>
              </w:rPr>
            </w:pPr>
            <w:r w:rsidRPr="00492784">
              <w:rPr>
                <w:rFonts w:ascii="Verdana" w:hAnsi="Verdana" w:cs="Arial"/>
                <w:color w:val="333333"/>
              </w:rPr>
              <w:t>26,0</w:t>
            </w:r>
          </w:p>
        </w:tc>
      </w:tr>
      <w:tr w:rsidR="000D4F65" w:rsidRPr="00F05FD6" w:rsidTr="00B25DE7">
        <w:trPr>
          <w:trHeight w:val="256"/>
          <w:jc w:val="center"/>
        </w:trPr>
        <w:tc>
          <w:tcPr>
            <w:cnfStyle w:val="001000000000"/>
            <w:tcW w:w="5043" w:type="dxa"/>
            <w:hideMark/>
          </w:tcPr>
          <w:p w:rsidR="000A01EC" w:rsidRPr="00492784" w:rsidRDefault="000A01EC" w:rsidP="000D4F65">
            <w:pPr>
              <w:pStyle w:val="Prrafodelista"/>
              <w:numPr>
                <w:ilvl w:val="0"/>
                <w:numId w:val="4"/>
              </w:numPr>
              <w:spacing w:line="360" w:lineRule="auto"/>
              <w:rPr>
                <w:rFonts w:ascii="Verdana" w:hAnsi="Verdana" w:cs="Arial"/>
                <w:b w:val="0"/>
                <w:bCs w:val="0"/>
                <w:color w:val="7030A0"/>
              </w:rPr>
            </w:pPr>
            <w:r w:rsidRPr="00492784">
              <w:rPr>
                <w:rFonts w:ascii="Verdana" w:hAnsi="Verdana" w:cs="Arial"/>
                <w:b w:val="0"/>
                <w:color w:val="7030A0"/>
              </w:rPr>
              <w:t>Educación superior</w:t>
            </w:r>
          </w:p>
        </w:tc>
        <w:tc>
          <w:tcPr>
            <w:tcW w:w="1062" w:type="dxa"/>
            <w:noWrap/>
            <w:vAlign w:val="center"/>
            <w:hideMark/>
          </w:tcPr>
          <w:p w:rsidR="000A01EC" w:rsidRPr="00492784" w:rsidRDefault="00492784" w:rsidP="000A01EC">
            <w:pPr>
              <w:spacing w:line="360" w:lineRule="auto"/>
              <w:jc w:val="center"/>
              <w:cnfStyle w:val="000000000000"/>
              <w:rPr>
                <w:rFonts w:ascii="Verdana" w:hAnsi="Verdana" w:cs="Arial"/>
                <w:color w:val="333333"/>
              </w:rPr>
            </w:pPr>
            <w:r w:rsidRPr="00492784">
              <w:rPr>
                <w:rFonts w:ascii="Verdana" w:hAnsi="Verdana" w:cs="Arial"/>
                <w:color w:val="333333"/>
              </w:rPr>
              <w:t>13,7</w:t>
            </w:r>
          </w:p>
        </w:tc>
      </w:tr>
      <w:tr w:rsidR="000A01EC" w:rsidRPr="00F05FD6" w:rsidTr="00B25DE7">
        <w:trPr>
          <w:cnfStyle w:val="000000100000"/>
          <w:trHeight w:val="256"/>
          <w:jc w:val="center"/>
        </w:trPr>
        <w:tc>
          <w:tcPr>
            <w:cnfStyle w:val="001000000000"/>
            <w:tcW w:w="5043" w:type="dxa"/>
            <w:hideMark/>
          </w:tcPr>
          <w:p w:rsidR="000A01EC" w:rsidRPr="00492784" w:rsidRDefault="000A01EC" w:rsidP="000A01EC">
            <w:pPr>
              <w:spacing w:line="360" w:lineRule="auto"/>
              <w:rPr>
                <w:rFonts w:ascii="Verdana" w:eastAsia="Times New Roman" w:hAnsi="Verdana" w:cs="Arial"/>
                <w:bCs w:val="0"/>
                <w:color w:val="7030A0"/>
                <w:lang w:eastAsia="es-ES"/>
              </w:rPr>
            </w:pPr>
            <w:r w:rsidRPr="00492784">
              <w:rPr>
                <w:rFonts w:ascii="Verdana" w:eastAsia="Times New Roman" w:hAnsi="Verdana" w:cs="Arial"/>
                <w:bCs w:val="0"/>
                <w:color w:val="7030A0"/>
                <w:lang w:eastAsia="es-ES"/>
              </w:rPr>
              <w:t>Por relación con la actividad</w:t>
            </w:r>
          </w:p>
        </w:tc>
        <w:tc>
          <w:tcPr>
            <w:tcW w:w="1062" w:type="dxa"/>
            <w:noWrap/>
            <w:vAlign w:val="center"/>
            <w:hideMark/>
          </w:tcPr>
          <w:p w:rsidR="000A01EC" w:rsidRPr="00492784" w:rsidRDefault="00492784" w:rsidP="000A01EC">
            <w:pPr>
              <w:spacing w:line="360" w:lineRule="auto"/>
              <w:jc w:val="center"/>
              <w:cnfStyle w:val="000000100000"/>
              <w:rPr>
                <w:rFonts w:ascii="Verdana" w:hAnsi="Verdana" w:cs="Arial"/>
                <w:b/>
                <w:color w:val="7030A0"/>
              </w:rPr>
            </w:pPr>
            <w:r w:rsidRPr="00492784">
              <w:rPr>
                <w:rFonts w:ascii="Verdana" w:hAnsi="Verdana" w:cs="Arial"/>
                <w:b/>
                <w:color w:val="7030A0"/>
              </w:rPr>
              <w:t>26,4</w:t>
            </w:r>
          </w:p>
        </w:tc>
      </w:tr>
      <w:tr w:rsidR="000A01EC" w:rsidRPr="00F05FD6" w:rsidTr="00B25DE7">
        <w:trPr>
          <w:trHeight w:val="256"/>
          <w:jc w:val="center"/>
        </w:trPr>
        <w:tc>
          <w:tcPr>
            <w:cnfStyle w:val="001000000000"/>
            <w:tcW w:w="5043" w:type="dxa"/>
            <w:hideMark/>
          </w:tcPr>
          <w:p w:rsidR="000A01EC" w:rsidRPr="00492784" w:rsidRDefault="000A01EC" w:rsidP="000D4F65">
            <w:pPr>
              <w:pStyle w:val="Prrafodelista"/>
              <w:numPr>
                <w:ilvl w:val="0"/>
                <w:numId w:val="4"/>
              </w:numPr>
              <w:spacing w:line="360" w:lineRule="auto"/>
              <w:rPr>
                <w:rFonts w:ascii="Verdana" w:hAnsi="Verdana" w:cs="Arial"/>
                <w:b w:val="0"/>
                <w:bCs w:val="0"/>
                <w:color w:val="7030A0"/>
              </w:rPr>
            </w:pPr>
            <w:r w:rsidRPr="00492784">
              <w:rPr>
                <w:rFonts w:ascii="Verdana" w:hAnsi="Verdana" w:cs="Arial"/>
                <w:b w:val="0"/>
                <w:color w:val="7030A0"/>
              </w:rPr>
              <w:t>Ocupados</w:t>
            </w:r>
          </w:p>
        </w:tc>
        <w:tc>
          <w:tcPr>
            <w:tcW w:w="1062" w:type="dxa"/>
            <w:noWrap/>
            <w:hideMark/>
          </w:tcPr>
          <w:p w:rsidR="000A01EC" w:rsidRPr="00492784" w:rsidRDefault="00492784" w:rsidP="000A01EC">
            <w:pPr>
              <w:spacing w:line="360" w:lineRule="auto"/>
              <w:jc w:val="center"/>
              <w:cnfStyle w:val="000000000000"/>
              <w:rPr>
                <w:rFonts w:ascii="Verdana" w:hAnsi="Verdana" w:cs="Arial"/>
                <w:color w:val="333333"/>
              </w:rPr>
            </w:pPr>
            <w:r w:rsidRPr="00492784">
              <w:rPr>
                <w:rFonts w:ascii="Verdana" w:hAnsi="Verdana" w:cs="Arial"/>
                <w:color w:val="333333"/>
              </w:rPr>
              <w:t>15,0</w:t>
            </w:r>
          </w:p>
        </w:tc>
      </w:tr>
      <w:tr w:rsidR="000A01EC" w:rsidRPr="00F05FD6" w:rsidTr="00B25DE7">
        <w:trPr>
          <w:cnfStyle w:val="000000100000"/>
          <w:trHeight w:val="256"/>
          <w:jc w:val="center"/>
        </w:trPr>
        <w:tc>
          <w:tcPr>
            <w:cnfStyle w:val="001000000000"/>
            <w:tcW w:w="5043" w:type="dxa"/>
            <w:hideMark/>
          </w:tcPr>
          <w:p w:rsidR="000A01EC" w:rsidRPr="00492784" w:rsidRDefault="000A01EC" w:rsidP="000D4F65">
            <w:pPr>
              <w:pStyle w:val="Prrafodelista"/>
              <w:numPr>
                <w:ilvl w:val="0"/>
                <w:numId w:val="4"/>
              </w:numPr>
              <w:spacing w:line="360" w:lineRule="auto"/>
              <w:rPr>
                <w:rFonts w:ascii="Verdana" w:hAnsi="Verdana" w:cs="Arial"/>
                <w:b w:val="0"/>
                <w:bCs w:val="0"/>
                <w:color w:val="7030A0"/>
              </w:rPr>
            </w:pPr>
            <w:r w:rsidRPr="00492784">
              <w:rPr>
                <w:rFonts w:ascii="Verdana" w:hAnsi="Verdana" w:cs="Arial"/>
                <w:b w:val="0"/>
                <w:color w:val="7030A0"/>
              </w:rPr>
              <w:t>Parados</w:t>
            </w:r>
          </w:p>
        </w:tc>
        <w:tc>
          <w:tcPr>
            <w:tcW w:w="1062" w:type="dxa"/>
            <w:noWrap/>
            <w:hideMark/>
          </w:tcPr>
          <w:p w:rsidR="000A01EC" w:rsidRPr="00492784" w:rsidRDefault="00492784" w:rsidP="000A01EC">
            <w:pPr>
              <w:spacing w:line="360" w:lineRule="auto"/>
              <w:jc w:val="center"/>
              <w:cnfStyle w:val="000000100000"/>
              <w:rPr>
                <w:rFonts w:ascii="Verdana" w:hAnsi="Verdana" w:cs="Arial"/>
                <w:color w:val="333333"/>
              </w:rPr>
            </w:pPr>
            <w:r w:rsidRPr="00492784">
              <w:rPr>
                <w:rFonts w:ascii="Verdana" w:hAnsi="Verdana" w:cs="Arial"/>
                <w:color w:val="333333"/>
              </w:rPr>
              <w:t>54,7</w:t>
            </w:r>
          </w:p>
        </w:tc>
      </w:tr>
      <w:tr w:rsidR="000A01EC" w:rsidRPr="00F05FD6" w:rsidTr="00B25DE7">
        <w:trPr>
          <w:trHeight w:val="256"/>
          <w:jc w:val="center"/>
        </w:trPr>
        <w:tc>
          <w:tcPr>
            <w:cnfStyle w:val="001000000000"/>
            <w:tcW w:w="5043" w:type="dxa"/>
            <w:hideMark/>
          </w:tcPr>
          <w:p w:rsidR="000A01EC" w:rsidRPr="00492784" w:rsidRDefault="000A01EC" w:rsidP="000D4F65">
            <w:pPr>
              <w:pStyle w:val="Prrafodelista"/>
              <w:numPr>
                <w:ilvl w:val="0"/>
                <w:numId w:val="4"/>
              </w:numPr>
              <w:spacing w:line="360" w:lineRule="auto"/>
              <w:rPr>
                <w:rFonts w:ascii="Verdana" w:hAnsi="Verdana" w:cs="Arial"/>
                <w:b w:val="0"/>
                <w:bCs w:val="0"/>
                <w:color w:val="7030A0"/>
              </w:rPr>
            </w:pPr>
            <w:r w:rsidRPr="00492784">
              <w:rPr>
                <w:rFonts w:ascii="Verdana" w:hAnsi="Verdana" w:cs="Arial"/>
                <w:b w:val="0"/>
                <w:color w:val="7030A0"/>
              </w:rPr>
              <w:t>Jubilados</w:t>
            </w:r>
          </w:p>
        </w:tc>
        <w:tc>
          <w:tcPr>
            <w:tcW w:w="1062" w:type="dxa"/>
            <w:noWrap/>
            <w:hideMark/>
          </w:tcPr>
          <w:p w:rsidR="000A01EC" w:rsidRPr="00492784" w:rsidRDefault="00492784" w:rsidP="000A01EC">
            <w:pPr>
              <w:spacing w:line="360" w:lineRule="auto"/>
              <w:jc w:val="center"/>
              <w:cnfStyle w:val="000000000000"/>
              <w:rPr>
                <w:rFonts w:ascii="Verdana" w:hAnsi="Verdana" w:cs="Arial"/>
                <w:color w:val="333333"/>
              </w:rPr>
            </w:pPr>
            <w:r w:rsidRPr="00492784">
              <w:rPr>
                <w:rFonts w:ascii="Verdana" w:hAnsi="Verdana" w:cs="Arial"/>
                <w:color w:val="333333"/>
              </w:rPr>
              <w:t>16,7</w:t>
            </w:r>
          </w:p>
        </w:tc>
      </w:tr>
      <w:tr w:rsidR="000A01EC" w:rsidRPr="00F05FD6" w:rsidTr="00B25DE7">
        <w:trPr>
          <w:cnfStyle w:val="000000100000"/>
          <w:trHeight w:val="256"/>
          <w:jc w:val="center"/>
        </w:trPr>
        <w:tc>
          <w:tcPr>
            <w:cnfStyle w:val="001000000000"/>
            <w:tcW w:w="5043" w:type="dxa"/>
            <w:hideMark/>
          </w:tcPr>
          <w:p w:rsidR="000A01EC" w:rsidRPr="00492784" w:rsidRDefault="000A01EC" w:rsidP="000D4F65">
            <w:pPr>
              <w:pStyle w:val="Prrafodelista"/>
              <w:numPr>
                <w:ilvl w:val="0"/>
                <w:numId w:val="4"/>
              </w:numPr>
              <w:spacing w:line="360" w:lineRule="auto"/>
              <w:rPr>
                <w:rFonts w:ascii="Verdana" w:hAnsi="Verdana" w:cs="Arial"/>
                <w:b w:val="0"/>
                <w:bCs w:val="0"/>
                <w:color w:val="7030A0"/>
              </w:rPr>
            </w:pPr>
            <w:r w:rsidRPr="00492784">
              <w:rPr>
                <w:rFonts w:ascii="Verdana" w:hAnsi="Verdana" w:cs="Arial"/>
                <w:b w:val="0"/>
                <w:color w:val="7030A0"/>
              </w:rPr>
              <w:t>Otros inactivos</w:t>
            </w:r>
          </w:p>
        </w:tc>
        <w:tc>
          <w:tcPr>
            <w:tcW w:w="1062" w:type="dxa"/>
            <w:noWrap/>
            <w:hideMark/>
          </w:tcPr>
          <w:p w:rsidR="000A01EC" w:rsidRPr="00492784" w:rsidRDefault="00492784" w:rsidP="000A01EC">
            <w:pPr>
              <w:spacing w:line="360" w:lineRule="auto"/>
              <w:jc w:val="center"/>
              <w:cnfStyle w:val="000000100000"/>
              <w:rPr>
                <w:rFonts w:ascii="Verdana" w:hAnsi="Verdana" w:cs="Arial"/>
                <w:color w:val="333333"/>
              </w:rPr>
            </w:pPr>
            <w:r w:rsidRPr="00492784">
              <w:rPr>
                <w:rFonts w:ascii="Verdana" w:hAnsi="Verdana" w:cs="Arial"/>
                <w:color w:val="333333"/>
              </w:rPr>
              <w:t>38,6</w:t>
            </w:r>
          </w:p>
        </w:tc>
      </w:tr>
      <w:tr w:rsidR="000A01EC" w:rsidRPr="00F05FD6" w:rsidTr="00B25DE7">
        <w:trPr>
          <w:trHeight w:val="256"/>
          <w:jc w:val="center"/>
        </w:trPr>
        <w:tc>
          <w:tcPr>
            <w:cnfStyle w:val="001000000000"/>
            <w:tcW w:w="5043" w:type="dxa"/>
            <w:hideMark/>
          </w:tcPr>
          <w:p w:rsidR="000A01EC" w:rsidRPr="00492784" w:rsidRDefault="00B25DE7" w:rsidP="000A01EC">
            <w:pPr>
              <w:spacing w:line="360" w:lineRule="auto"/>
              <w:rPr>
                <w:rFonts w:ascii="Verdana" w:hAnsi="Verdana" w:cs="Arial"/>
                <w:bCs w:val="0"/>
                <w:color w:val="7030A0"/>
              </w:rPr>
            </w:pPr>
            <w:r w:rsidRPr="00492784">
              <w:rPr>
                <w:rFonts w:ascii="Verdana" w:hAnsi="Verdana" w:cs="Arial"/>
                <w:bCs w:val="0"/>
                <w:color w:val="7030A0"/>
              </w:rPr>
              <w:t>Por nacionalidad</w:t>
            </w:r>
          </w:p>
        </w:tc>
        <w:tc>
          <w:tcPr>
            <w:tcW w:w="1062" w:type="dxa"/>
            <w:noWrap/>
            <w:hideMark/>
          </w:tcPr>
          <w:p w:rsidR="000A01EC" w:rsidRPr="00492784" w:rsidRDefault="00B25DE7" w:rsidP="000A01EC">
            <w:pPr>
              <w:spacing w:line="360" w:lineRule="auto"/>
              <w:jc w:val="center"/>
              <w:cnfStyle w:val="000000000000"/>
              <w:rPr>
                <w:rFonts w:ascii="Verdana" w:hAnsi="Verdana" w:cs="Arial"/>
                <w:b/>
                <w:color w:val="7030A0"/>
              </w:rPr>
            </w:pPr>
            <w:r w:rsidRPr="00492784">
              <w:rPr>
                <w:rFonts w:ascii="Verdana" w:hAnsi="Verdana" w:cs="Arial"/>
                <w:b/>
                <w:color w:val="7030A0"/>
              </w:rPr>
              <w:t>26,</w:t>
            </w:r>
            <w:r w:rsidR="00492784" w:rsidRPr="00492784">
              <w:rPr>
                <w:rFonts w:ascii="Verdana" w:hAnsi="Verdana" w:cs="Arial"/>
                <w:b/>
                <w:color w:val="7030A0"/>
              </w:rPr>
              <w:t>4</w:t>
            </w:r>
          </w:p>
        </w:tc>
      </w:tr>
      <w:tr w:rsidR="000A01EC" w:rsidRPr="00F05FD6" w:rsidTr="00B25DE7">
        <w:trPr>
          <w:cnfStyle w:val="000000100000"/>
          <w:trHeight w:val="256"/>
          <w:jc w:val="center"/>
        </w:trPr>
        <w:tc>
          <w:tcPr>
            <w:cnfStyle w:val="001000000000"/>
            <w:tcW w:w="5043" w:type="dxa"/>
            <w:hideMark/>
          </w:tcPr>
          <w:p w:rsidR="000A01EC" w:rsidRPr="00492784" w:rsidRDefault="00B25DE7" w:rsidP="00B25DE7">
            <w:pPr>
              <w:pStyle w:val="Prrafodelista"/>
              <w:numPr>
                <w:ilvl w:val="0"/>
                <w:numId w:val="4"/>
              </w:numPr>
              <w:spacing w:line="360" w:lineRule="auto"/>
              <w:rPr>
                <w:rFonts w:ascii="Verdana" w:eastAsia="Times New Roman" w:hAnsi="Verdana" w:cs="Arial"/>
                <w:b w:val="0"/>
                <w:color w:val="7030A0"/>
                <w:lang w:eastAsia="es-ES"/>
              </w:rPr>
            </w:pPr>
            <w:r w:rsidRPr="00492784">
              <w:rPr>
                <w:rFonts w:ascii="Verdana" w:eastAsia="Times New Roman" w:hAnsi="Verdana" w:cs="Arial"/>
                <w:b w:val="0"/>
                <w:color w:val="7030A0"/>
                <w:lang w:eastAsia="es-ES"/>
              </w:rPr>
              <w:t>Española</w:t>
            </w:r>
          </w:p>
        </w:tc>
        <w:tc>
          <w:tcPr>
            <w:tcW w:w="1062" w:type="dxa"/>
            <w:noWrap/>
            <w:vAlign w:val="center"/>
            <w:hideMark/>
          </w:tcPr>
          <w:p w:rsidR="000A01EC" w:rsidRPr="00492784" w:rsidRDefault="00492784" w:rsidP="000A01EC">
            <w:pPr>
              <w:spacing w:line="360" w:lineRule="auto"/>
              <w:jc w:val="center"/>
              <w:cnfStyle w:val="000000100000"/>
              <w:rPr>
                <w:rFonts w:ascii="Verdana" w:hAnsi="Verdana" w:cs="Arial"/>
                <w:color w:val="auto"/>
              </w:rPr>
            </w:pPr>
            <w:r w:rsidRPr="00492784">
              <w:rPr>
                <w:rFonts w:ascii="Verdana" w:hAnsi="Verdana" w:cs="Arial"/>
                <w:color w:val="auto"/>
              </w:rPr>
              <w:t>22,6</w:t>
            </w:r>
          </w:p>
        </w:tc>
      </w:tr>
      <w:tr w:rsidR="000A01EC" w:rsidRPr="00F05FD6" w:rsidTr="00B25DE7">
        <w:trPr>
          <w:trHeight w:val="256"/>
          <w:jc w:val="center"/>
        </w:trPr>
        <w:tc>
          <w:tcPr>
            <w:cnfStyle w:val="001000000000"/>
            <w:tcW w:w="5043" w:type="dxa"/>
            <w:hideMark/>
          </w:tcPr>
          <w:p w:rsidR="000A01EC" w:rsidRPr="00492784" w:rsidRDefault="00B25DE7" w:rsidP="00B25DE7">
            <w:pPr>
              <w:pStyle w:val="Prrafodelista"/>
              <w:numPr>
                <w:ilvl w:val="0"/>
                <w:numId w:val="4"/>
              </w:numPr>
              <w:spacing w:line="360" w:lineRule="auto"/>
              <w:rPr>
                <w:rFonts w:ascii="Verdana" w:eastAsia="Times New Roman" w:hAnsi="Verdana" w:cs="Arial"/>
                <w:b w:val="0"/>
                <w:color w:val="7030A0"/>
                <w:lang w:eastAsia="es-ES"/>
              </w:rPr>
            </w:pPr>
            <w:r w:rsidRPr="00492784">
              <w:rPr>
                <w:rFonts w:ascii="Verdana" w:eastAsia="Times New Roman" w:hAnsi="Verdana" w:cs="Arial"/>
                <w:b w:val="0"/>
                <w:color w:val="7030A0"/>
                <w:lang w:eastAsia="es-ES"/>
              </w:rPr>
              <w:t>Extranjera (Unión Europea)</w:t>
            </w:r>
          </w:p>
        </w:tc>
        <w:tc>
          <w:tcPr>
            <w:tcW w:w="1062" w:type="dxa"/>
            <w:noWrap/>
            <w:vAlign w:val="center"/>
            <w:hideMark/>
          </w:tcPr>
          <w:p w:rsidR="000A01EC" w:rsidRPr="00492784" w:rsidRDefault="00492784" w:rsidP="000A01EC">
            <w:pPr>
              <w:spacing w:line="360" w:lineRule="auto"/>
              <w:jc w:val="center"/>
              <w:cnfStyle w:val="000000000000"/>
              <w:rPr>
                <w:rFonts w:ascii="Verdana" w:hAnsi="Verdana" w:cs="Arial"/>
                <w:color w:val="auto"/>
              </w:rPr>
            </w:pPr>
            <w:r w:rsidRPr="00492784">
              <w:rPr>
                <w:rFonts w:ascii="Verdana" w:hAnsi="Verdana" w:cs="Arial"/>
                <w:color w:val="auto"/>
              </w:rPr>
              <w:t>43,4</w:t>
            </w:r>
          </w:p>
        </w:tc>
      </w:tr>
      <w:tr w:rsidR="000A01EC" w:rsidRPr="00F05FD6" w:rsidTr="00B25DE7">
        <w:trPr>
          <w:cnfStyle w:val="000000100000"/>
          <w:trHeight w:val="256"/>
          <w:jc w:val="center"/>
        </w:trPr>
        <w:tc>
          <w:tcPr>
            <w:cnfStyle w:val="001000000000"/>
            <w:tcW w:w="5043" w:type="dxa"/>
            <w:hideMark/>
          </w:tcPr>
          <w:p w:rsidR="000A01EC" w:rsidRPr="00492784" w:rsidRDefault="00B25DE7" w:rsidP="00B25DE7">
            <w:pPr>
              <w:pStyle w:val="Prrafodelista"/>
              <w:numPr>
                <w:ilvl w:val="0"/>
                <w:numId w:val="4"/>
              </w:numPr>
              <w:spacing w:line="360" w:lineRule="auto"/>
              <w:rPr>
                <w:rFonts w:ascii="Verdana" w:eastAsia="Times New Roman" w:hAnsi="Verdana" w:cs="Arial"/>
                <w:b w:val="0"/>
                <w:color w:val="7030A0"/>
                <w:lang w:eastAsia="es-ES"/>
              </w:rPr>
            </w:pPr>
            <w:r w:rsidRPr="00492784">
              <w:rPr>
                <w:rFonts w:ascii="Verdana" w:eastAsia="Times New Roman" w:hAnsi="Verdana" w:cs="Arial"/>
                <w:b w:val="0"/>
                <w:color w:val="7030A0"/>
                <w:lang w:eastAsia="es-ES"/>
              </w:rPr>
              <w:t>Extranjera (Resto del mundo)</w:t>
            </w:r>
          </w:p>
        </w:tc>
        <w:tc>
          <w:tcPr>
            <w:tcW w:w="1062" w:type="dxa"/>
            <w:noWrap/>
            <w:vAlign w:val="center"/>
            <w:hideMark/>
          </w:tcPr>
          <w:p w:rsidR="000A01EC" w:rsidRPr="00492784" w:rsidRDefault="00B25DE7" w:rsidP="000A01EC">
            <w:pPr>
              <w:spacing w:line="360" w:lineRule="auto"/>
              <w:jc w:val="center"/>
              <w:cnfStyle w:val="000000100000"/>
              <w:rPr>
                <w:rFonts w:ascii="Verdana" w:hAnsi="Verdana" w:cs="Arial"/>
                <w:color w:val="auto"/>
              </w:rPr>
            </w:pPr>
            <w:r w:rsidRPr="00492784">
              <w:rPr>
                <w:rFonts w:ascii="Verdana" w:hAnsi="Verdana" w:cs="Arial"/>
                <w:color w:val="auto"/>
              </w:rPr>
              <w:t>58,</w:t>
            </w:r>
            <w:r w:rsidR="00492784" w:rsidRPr="00492784">
              <w:rPr>
                <w:rFonts w:ascii="Verdana" w:hAnsi="Verdana" w:cs="Arial"/>
                <w:color w:val="auto"/>
              </w:rPr>
              <w:t>0</w:t>
            </w:r>
          </w:p>
        </w:tc>
      </w:tr>
    </w:tbl>
    <w:p w:rsidR="00F565B2" w:rsidRPr="00353381" w:rsidRDefault="00F565B2" w:rsidP="00F565B2">
      <w:pPr>
        <w:spacing w:after="0" w:line="240" w:lineRule="auto"/>
        <w:jc w:val="both"/>
        <w:rPr>
          <w:rFonts w:ascii="Verdana" w:hAnsi="Verdana"/>
          <w:i/>
          <w:sz w:val="18"/>
          <w:szCs w:val="18"/>
        </w:rPr>
      </w:pPr>
      <w:r w:rsidRPr="00353381">
        <w:rPr>
          <w:rFonts w:ascii="Verdana" w:hAnsi="Verdana"/>
          <w:i/>
          <w:sz w:val="16"/>
          <w:szCs w:val="16"/>
        </w:rPr>
        <w:tab/>
      </w:r>
      <w:r w:rsidRPr="00353381">
        <w:rPr>
          <w:rFonts w:ascii="Verdana" w:hAnsi="Verdana"/>
          <w:i/>
          <w:sz w:val="16"/>
          <w:szCs w:val="16"/>
        </w:rPr>
        <w:tab/>
      </w:r>
      <w:r w:rsidRPr="00353381">
        <w:rPr>
          <w:rFonts w:ascii="Verdana" w:hAnsi="Verdana"/>
          <w:i/>
          <w:sz w:val="16"/>
          <w:szCs w:val="16"/>
        </w:rPr>
        <w:tab/>
      </w:r>
      <w:r w:rsidRPr="00353381">
        <w:rPr>
          <w:rFonts w:ascii="Verdana" w:hAnsi="Verdana"/>
          <w:i/>
          <w:sz w:val="18"/>
          <w:szCs w:val="18"/>
        </w:rPr>
        <w:t>Estrategia 2020</w:t>
      </w:r>
    </w:p>
    <w:p w:rsidR="00F565B2" w:rsidRPr="00353381" w:rsidRDefault="00351825" w:rsidP="00351825">
      <w:pPr>
        <w:spacing w:after="0" w:line="240" w:lineRule="auto"/>
        <w:ind w:left="2127" w:hanging="1419"/>
        <w:jc w:val="both"/>
        <w:rPr>
          <w:rFonts w:ascii="Verdana" w:hAnsi="Verdana"/>
          <w:i/>
          <w:sz w:val="18"/>
          <w:szCs w:val="18"/>
        </w:rPr>
      </w:pPr>
      <w:r w:rsidRPr="00353381">
        <w:rPr>
          <w:rFonts w:ascii="Verdana" w:hAnsi="Verdana"/>
          <w:i/>
          <w:sz w:val="18"/>
          <w:szCs w:val="18"/>
        </w:rPr>
        <w:tab/>
      </w:r>
      <w:r w:rsidR="00F565B2" w:rsidRPr="00353381">
        <w:rPr>
          <w:rFonts w:ascii="Verdana" w:hAnsi="Verdana"/>
          <w:i/>
          <w:sz w:val="18"/>
          <w:szCs w:val="18"/>
        </w:rPr>
        <w:t>Nota: datos referidos a personas de 16 y más años</w:t>
      </w:r>
      <w:r w:rsidRPr="00353381">
        <w:rPr>
          <w:rFonts w:ascii="Verdana" w:hAnsi="Verdana"/>
          <w:i/>
          <w:sz w:val="18"/>
          <w:szCs w:val="18"/>
        </w:rPr>
        <w:t>, excepto el dato de menores de 16 años</w:t>
      </w:r>
    </w:p>
    <w:p w:rsidR="00F565B2" w:rsidRPr="00353381" w:rsidRDefault="00F565B2" w:rsidP="00F565B2">
      <w:pPr>
        <w:spacing w:after="0" w:line="240" w:lineRule="auto"/>
        <w:jc w:val="both"/>
        <w:rPr>
          <w:rFonts w:ascii="Verdana" w:hAnsi="Verdana"/>
          <w:i/>
          <w:sz w:val="18"/>
          <w:szCs w:val="18"/>
        </w:rPr>
      </w:pPr>
      <w:r w:rsidRPr="00353381">
        <w:rPr>
          <w:rFonts w:ascii="Verdana" w:hAnsi="Verdana"/>
          <w:i/>
          <w:sz w:val="18"/>
          <w:szCs w:val="18"/>
        </w:rPr>
        <w:tab/>
      </w:r>
      <w:r w:rsidRPr="00353381">
        <w:rPr>
          <w:rFonts w:ascii="Verdana" w:hAnsi="Verdana"/>
          <w:i/>
          <w:sz w:val="18"/>
          <w:szCs w:val="18"/>
        </w:rPr>
        <w:tab/>
      </w:r>
      <w:r w:rsidRPr="00353381">
        <w:rPr>
          <w:rFonts w:ascii="Verdana" w:hAnsi="Verdana"/>
          <w:i/>
          <w:sz w:val="18"/>
          <w:szCs w:val="18"/>
        </w:rPr>
        <w:tab/>
        <w:t>Unidad: porcentaje</w:t>
      </w:r>
    </w:p>
    <w:p w:rsidR="00F565B2" w:rsidRPr="00353381" w:rsidRDefault="00F565B2" w:rsidP="00F565B2">
      <w:pPr>
        <w:spacing w:after="0" w:line="240" w:lineRule="auto"/>
        <w:jc w:val="both"/>
        <w:rPr>
          <w:rFonts w:ascii="Verdana" w:hAnsi="Verdana"/>
          <w:i/>
          <w:sz w:val="18"/>
          <w:szCs w:val="18"/>
        </w:rPr>
      </w:pPr>
      <w:r w:rsidRPr="00353381">
        <w:rPr>
          <w:rFonts w:ascii="Verdana" w:hAnsi="Verdana"/>
          <w:i/>
          <w:sz w:val="18"/>
          <w:szCs w:val="18"/>
        </w:rPr>
        <w:tab/>
      </w:r>
      <w:r w:rsidRPr="00353381">
        <w:rPr>
          <w:rFonts w:ascii="Verdana" w:hAnsi="Verdana"/>
          <w:i/>
          <w:sz w:val="18"/>
          <w:szCs w:val="18"/>
        </w:rPr>
        <w:tab/>
      </w:r>
      <w:r w:rsidRPr="00353381">
        <w:rPr>
          <w:rFonts w:ascii="Verdana" w:hAnsi="Verdana"/>
          <w:i/>
          <w:sz w:val="18"/>
          <w:szCs w:val="18"/>
        </w:rPr>
        <w:tab/>
      </w:r>
      <w:proofErr w:type="spellStart"/>
      <w:r w:rsidRPr="00353381">
        <w:rPr>
          <w:rFonts w:ascii="Verdana" w:hAnsi="Verdana"/>
          <w:i/>
          <w:sz w:val="18"/>
          <w:szCs w:val="18"/>
        </w:rPr>
        <w:t>Fte</w:t>
      </w:r>
      <w:proofErr w:type="spellEnd"/>
      <w:r w:rsidRPr="00353381">
        <w:rPr>
          <w:rFonts w:ascii="Verdana" w:hAnsi="Verdana"/>
          <w:i/>
          <w:sz w:val="18"/>
          <w:szCs w:val="18"/>
        </w:rPr>
        <w:t>: INE “Encuesta de Condiciones de Vida”</w:t>
      </w:r>
    </w:p>
    <w:p w:rsidR="00F565B2" w:rsidRPr="00353381" w:rsidRDefault="00F565B2" w:rsidP="00F565B2">
      <w:pPr>
        <w:spacing w:line="360" w:lineRule="auto"/>
        <w:jc w:val="both"/>
        <w:rPr>
          <w:rFonts w:ascii="Verdana" w:hAnsi="Verdana"/>
        </w:rPr>
      </w:pPr>
    </w:p>
    <w:p w:rsidR="00F565B2" w:rsidRPr="00F05FD6" w:rsidRDefault="00F565B2" w:rsidP="00386734">
      <w:pPr>
        <w:spacing w:line="360" w:lineRule="auto"/>
        <w:jc w:val="both"/>
        <w:rPr>
          <w:rFonts w:ascii="Verdana" w:hAnsi="Verdana"/>
          <w:highlight w:val="yellow"/>
        </w:rPr>
      </w:pPr>
    </w:p>
    <w:p w:rsidR="00C12FC3" w:rsidRPr="00F05FD6" w:rsidRDefault="00C12FC3" w:rsidP="00AF3027">
      <w:pPr>
        <w:spacing w:line="360" w:lineRule="auto"/>
        <w:jc w:val="both"/>
        <w:rPr>
          <w:rFonts w:ascii="Verdana" w:hAnsi="Verdana"/>
          <w:highlight w:val="yellow"/>
        </w:rPr>
      </w:pPr>
    </w:p>
    <w:p w:rsidR="00351825" w:rsidRPr="00F05FD6" w:rsidRDefault="00351825" w:rsidP="00AF3027">
      <w:pPr>
        <w:spacing w:line="360" w:lineRule="auto"/>
        <w:jc w:val="both"/>
        <w:rPr>
          <w:rFonts w:ascii="Verdana" w:hAnsi="Verdana"/>
          <w:highlight w:val="yellow"/>
        </w:rPr>
      </w:pPr>
    </w:p>
    <w:p w:rsidR="00AF3027" w:rsidRPr="00E63CDF" w:rsidRDefault="006C3506" w:rsidP="00AF3027">
      <w:pPr>
        <w:spacing w:line="360" w:lineRule="auto"/>
        <w:jc w:val="both"/>
        <w:rPr>
          <w:rFonts w:ascii="Verdana" w:hAnsi="Verdana"/>
        </w:rPr>
      </w:pPr>
      <w:r w:rsidRPr="00E63CDF">
        <w:rPr>
          <w:rFonts w:ascii="Verdana" w:hAnsi="Verdana"/>
        </w:rPr>
        <w:t>Atendiendo al tipo de hogar, l</w:t>
      </w:r>
      <w:r w:rsidR="00AF3027" w:rsidRPr="00E63CDF">
        <w:rPr>
          <w:rFonts w:ascii="Verdana" w:hAnsi="Verdana"/>
        </w:rPr>
        <w:t xml:space="preserve">os </w:t>
      </w:r>
      <w:proofErr w:type="spellStart"/>
      <w:r w:rsidR="00AF3027" w:rsidRPr="00E63CDF">
        <w:rPr>
          <w:rFonts w:ascii="Verdana" w:hAnsi="Verdana"/>
          <w:b/>
          <w:color w:val="7030A0"/>
        </w:rPr>
        <w:t>monoparentales</w:t>
      </w:r>
      <w:proofErr w:type="spellEnd"/>
      <w:r w:rsidR="00AF3027" w:rsidRPr="00E63CDF">
        <w:rPr>
          <w:rFonts w:ascii="Verdana" w:hAnsi="Verdana"/>
        </w:rPr>
        <w:t xml:space="preserve"> sufren de </w:t>
      </w:r>
      <w:r w:rsidR="00AF3027" w:rsidRPr="00E63CDF">
        <w:rPr>
          <w:rFonts w:ascii="Verdana" w:hAnsi="Verdana"/>
          <w:b/>
          <w:color w:val="7030A0"/>
        </w:rPr>
        <w:t>manera más intensa la pobreza</w:t>
      </w:r>
      <w:r w:rsidR="00AF3027" w:rsidRPr="00E63CDF">
        <w:rPr>
          <w:rFonts w:ascii="Verdana" w:hAnsi="Verdana"/>
        </w:rPr>
        <w:t xml:space="preserve">, </w:t>
      </w:r>
      <w:r w:rsidR="00C12FC3" w:rsidRPr="00E63CDF">
        <w:rPr>
          <w:rFonts w:ascii="Verdana" w:hAnsi="Verdana"/>
        </w:rPr>
        <w:t>en torno a</w:t>
      </w:r>
      <w:r w:rsidR="00AF3027" w:rsidRPr="00E63CDF">
        <w:rPr>
          <w:rFonts w:ascii="Verdana" w:hAnsi="Verdana"/>
        </w:rPr>
        <w:t xml:space="preserve"> la </w:t>
      </w:r>
      <w:r w:rsidR="00AF3027" w:rsidRPr="00E63CDF">
        <w:rPr>
          <w:rFonts w:ascii="Verdana" w:hAnsi="Verdana"/>
          <w:b/>
          <w:color w:val="7030A0"/>
        </w:rPr>
        <w:t>mitad</w:t>
      </w:r>
      <w:r w:rsidR="00AF3027" w:rsidRPr="00E63CDF">
        <w:rPr>
          <w:rFonts w:ascii="Verdana" w:hAnsi="Verdana"/>
        </w:rPr>
        <w:t xml:space="preserve"> </w:t>
      </w:r>
      <w:r w:rsidR="00C12FC3" w:rsidRPr="00E63CDF">
        <w:rPr>
          <w:rFonts w:ascii="Verdana" w:hAnsi="Verdana"/>
        </w:rPr>
        <w:t>(</w:t>
      </w:r>
      <w:r w:rsidR="00E63CDF" w:rsidRPr="00E63CDF">
        <w:rPr>
          <w:rFonts w:ascii="Verdana" w:hAnsi="Verdana"/>
        </w:rPr>
        <w:t>49,1</w:t>
      </w:r>
      <w:r w:rsidR="00C12FC3" w:rsidRPr="00E63CDF">
        <w:rPr>
          <w:rFonts w:ascii="Verdana" w:hAnsi="Verdana"/>
        </w:rPr>
        <w:t xml:space="preserve">%) </w:t>
      </w:r>
      <w:r w:rsidR="00AF3027" w:rsidRPr="00E63CDF">
        <w:rPr>
          <w:rFonts w:ascii="Verdana" w:hAnsi="Verdana"/>
        </w:rPr>
        <w:t xml:space="preserve">de las personas que </w:t>
      </w:r>
      <w:r w:rsidR="00C12FC3" w:rsidRPr="00E63CDF">
        <w:rPr>
          <w:rFonts w:ascii="Verdana" w:hAnsi="Verdana"/>
        </w:rPr>
        <w:t xml:space="preserve">viven en </w:t>
      </w:r>
      <w:r w:rsidR="00C12FC3" w:rsidRPr="00E63CDF">
        <w:rPr>
          <w:rFonts w:ascii="Verdana" w:hAnsi="Verdana"/>
          <w:b/>
          <w:color w:val="7030A0"/>
        </w:rPr>
        <w:t xml:space="preserve">hogares </w:t>
      </w:r>
      <w:proofErr w:type="spellStart"/>
      <w:r w:rsidR="00C12FC3" w:rsidRPr="00E63CDF">
        <w:rPr>
          <w:rFonts w:ascii="Verdana" w:hAnsi="Verdana"/>
          <w:b/>
          <w:color w:val="7030A0"/>
        </w:rPr>
        <w:t>monoparentales</w:t>
      </w:r>
      <w:proofErr w:type="spellEnd"/>
      <w:r w:rsidR="00F47103">
        <w:rPr>
          <w:rFonts w:ascii="Verdana" w:hAnsi="Verdana"/>
          <w:b/>
          <w:color w:val="7030A0"/>
        </w:rPr>
        <w:t xml:space="preserve"> en España</w:t>
      </w:r>
      <w:r w:rsidR="00C12FC3" w:rsidRPr="00E63CDF">
        <w:rPr>
          <w:rFonts w:ascii="Verdana" w:hAnsi="Verdana"/>
          <w:b/>
          <w:color w:val="7030A0"/>
        </w:rPr>
        <w:t xml:space="preserve"> </w:t>
      </w:r>
      <w:r w:rsidR="00C12FC3" w:rsidRPr="00E63CDF">
        <w:rPr>
          <w:rFonts w:ascii="Verdana" w:hAnsi="Verdana"/>
        </w:rPr>
        <w:t xml:space="preserve">está en </w:t>
      </w:r>
      <w:r w:rsidR="00C12FC3" w:rsidRPr="00E63CDF">
        <w:rPr>
          <w:rFonts w:ascii="Verdana" w:hAnsi="Verdana"/>
          <w:b/>
          <w:color w:val="7030A0"/>
        </w:rPr>
        <w:t>situación de pobreza o exclusión social</w:t>
      </w:r>
      <w:r w:rsidR="00C12FC3" w:rsidRPr="00E63CDF">
        <w:rPr>
          <w:rFonts w:ascii="Verdana" w:hAnsi="Verdana"/>
        </w:rPr>
        <w:t>.</w:t>
      </w:r>
    </w:p>
    <w:p w:rsidR="00AF3027" w:rsidRPr="00F05FD6" w:rsidRDefault="00AF3027" w:rsidP="004F6B7E">
      <w:pPr>
        <w:jc w:val="both"/>
        <w:rPr>
          <w:rFonts w:ascii="Verdana" w:hAnsi="Verdana"/>
          <w:highlight w:val="yellow"/>
        </w:rPr>
      </w:pPr>
    </w:p>
    <w:p w:rsidR="00AF3027" w:rsidRPr="00E63CDF" w:rsidRDefault="00AF3027" w:rsidP="00AF3027">
      <w:pPr>
        <w:pStyle w:val="Prrafodelista"/>
        <w:jc w:val="center"/>
        <w:rPr>
          <w:rFonts w:ascii="Verdana" w:hAnsi="Verdana"/>
          <w:color w:val="7030A0"/>
          <w:sz w:val="20"/>
          <w:szCs w:val="20"/>
        </w:rPr>
      </w:pPr>
      <w:r w:rsidRPr="00E63CDF">
        <w:rPr>
          <w:rFonts w:ascii="Verdana" w:hAnsi="Verdana"/>
          <w:b/>
          <w:color w:val="7030A0"/>
          <w:sz w:val="20"/>
          <w:szCs w:val="20"/>
        </w:rPr>
        <w:t>Cuadro</w:t>
      </w:r>
      <w:r w:rsidRPr="00E63CDF">
        <w:rPr>
          <w:rFonts w:ascii="Verdana" w:hAnsi="Verdana"/>
          <w:color w:val="7030A0"/>
          <w:sz w:val="20"/>
          <w:szCs w:val="20"/>
        </w:rPr>
        <w:t xml:space="preserve">: tasa de riesgo de pobreza o exclusión social. </w:t>
      </w:r>
    </w:p>
    <w:p w:rsidR="00AF3027" w:rsidRPr="00E63CDF" w:rsidRDefault="00AF3027" w:rsidP="00AF3027">
      <w:pPr>
        <w:pStyle w:val="Prrafodelista"/>
        <w:jc w:val="center"/>
        <w:rPr>
          <w:rFonts w:ascii="Verdana" w:hAnsi="Verdana"/>
          <w:color w:val="7030A0"/>
          <w:sz w:val="20"/>
          <w:szCs w:val="20"/>
        </w:rPr>
      </w:pPr>
      <w:r w:rsidRPr="00E63CDF">
        <w:rPr>
          <w:rFonts w:ascii="Verdana" w:hAnsi="Verdana"/>
          <w:color w:val="7030A0"/>
          <w:sz w:val="20"/>
          <w:szCs w:val="20"/>
        </w:rPr>
        <w:t xml:space="preserve">España </w:t>
      </w:r>
      <w:r w:rsidR="005B1528" w:rsidRPr="00E63CDF">
        <w:rPr>
          <w:rFonts w:ascii="Verdana" w:hAnsi="Verdana"/>
          <w:color w:val="7030A0"/>
          <w:sz w:val="20"/>
          <w:szCs w:val="20"/>
        </w:rPr>
        <w:t>2020</w:t>
      </w:r>
    </w:p>
    <w:tbl>
      <w:tblPr>
        <w:tblStyle w:val="Sombreadoclaro-nfasis4"/>
        <w:tblW w:w="6952" w:type="dxa"/>
        <w:jc w:val="center"/>
        <w:tblLook w:val="04A0"/>
      </w:tblPr>
      <w:tblGrid>
        <w:gridCol w:w="4892"/>
        <w:gridCol w:w="2060"/>
      </w:tblGrid>
      <w:tr w:rsidR="00AF3027" w:rsidRPr="00E63CDF" w:rsidTr="00AF3027">
        <w:trPr>
          <w:cnfStyle w:val="100000000000"/>
          <w:trHeight w:val="255"/>
          <w:jc w:val="center"/>
        </w:trPr>
        <w:tc>
          <w:tcPr>
            <w:cnfStyle w:val="001000000000"/>
            <w:tcW w:w="4892" w:type="dxa"/>
            <w:noWrap/>
            <w:hideMark/>
          </w:tcPr>
          <w:p w:rsidR="00AF3027" w:rsidRPr="00E63CDF" w:rsidRDefault="00AF3027" w:rsidP="00AF3027">
            <w:pPr>
              <w:spacing w:line="360" w:lineRule="auto"/>
              <w:rPr>
                <w:rFonts w:ascii="Verdana" w:eastAsia="Times New Roman" w:hAnsi="Verdana" w:cs="Arial"/>
                <w:b w:val="0"/>
                <w:lang w:eastAsia="es-ES"/>
              </w:rPr>
            </w:pPr>
          </w:p>
        </w:tc>
        <w:tc>
          <w:tcPr>
            <w:tcW w:w="2060" w:type="dxa"/>
            <w:hideMark/>
          </w:tcPr>
          <w:p w:rsidR="00AF3027" w:rsidRPr="00E63CDF" w:rsidRDefault="00AF3027" w:rsidP="000E7217">
            <w:pPr>
              <w:spacing w:line="360" w:lineRule="auto"/>
              <w:jc w:val="center"/>
              <w:cnfStyle w:val="100000000000"/>
              <w:rPr>
                <w:rFonts w:ascii="Verdana" w:eastAsia="Times New Roman" w:hAnsi="Verdana" w:cs="Arial"/>
                <w:b w:val="0"/>
                <w:color w:val="7030A0"/>
                <w:lang w:eastAsia="es-ES"/>
              </w:rPr>
            </w:pPr>
          </w:p>
        </w:tc>
      </w:tr>
      <w:tr w:rsidR="00AF3027" w:rsidRPr="00E63CDF" w:rsidTr="00AF3027">
        <w:trPr>
          <w:cnfStyle w:val="000000100000"/>
          <w:trHeight w:val="255"/>
          <w:jc w:val="center"/>
        </w:trPr>
        <w:tc>
          <w:tcPr>
            <w:cnfStyle w:val="001000000000"/>
            <w:tcW w:w="4892" w:type="dxa"/>
            <w:hideMark/>
          </w:tcPr>
          <w:p w:rsidR="00AF3027" w:rsidRPr="00E63CDF" w:rsidRDefault="00AF3027" w:rsidP="00AF3027">
            <w:pPr>
              <w:spacing w:line="360" w:lineRule="auto"/>
              <w:rPr>
                <w:rFonts w:ascii="Verdana" w:eastAsia="Times New Roman" w:hAnsi="Verdana" w:cs="Arial"/>
                <w:b w:val="0"/>
                <w:color w:val="7030A0"/>
                <w:lang w:eastAsia="es-ES"/>
              </w:rPr>
            </w:pPr>
            <w:r w:rsidRPr="00E63CDF">
              <w:rPr>
                <w:rFonts w:ascii="Verdana" w:eastAsia="Times New Roman" w:hAnsi="Verdana" w:cs="Arial"/>
                <w:b w:val="0"/>
                <w:color w:val="7030A0"/>
                <w:lang w:eastAsia="es-ES"/>
              </w:rPr>
              <w:t>Hogares de una persona</w:t>
            </w:r>
          </w:p>
        </w:tc>
        <w:tc>
          <w:tcPr>
            <w:tcW w:w="2060" w:type="dxa"/>
            <w:noWrap/>
            <w:hideMark/>
          </w:tcPr>
          <w:p w:rsidR="00AF3027" w:rsidRPr="00E63CDF" w:rsidRDefault="00E63CDF" w:rsidP="000E7217">
            <w:pPr>
              <w:spacing w:line="360" w:lineRule="auto"/>
              <w:jc w:val="center"/>
              <w:cnfStyle w:val="000000100000"/>
              <w:rPr>
                <w:rFonts w:ascii="Verdana" w:eastAsia="Times New Roman" w:hAnsi="Verdana" w:cs="Arial"/>
                <w:color w:val="7030A0"/>
                <w:lang w:eastAsia="es-ES"/>
              </w:rPr>
            </w:pPr>
            <w:r w:rsidRPr="00E63CDF">
              <w:rPr>
                <w:rFonts w:ascii="Verdana" w:eastAsia="Times New Roman" w:hAnsi="Verdana" w:cs="Arial"/>
                <w:color w:val="7030A0"/>
                <w:lang w:eastAsia="es-ES"/>
              </w:rPr>
              <w:t>31,9</w:t>
            </w:r>
          </w:p>
        </w:tc>
      </w:tr>
      <w:tr w:rsidR="00AF3027" w:rsidRPr="00E63CDF" w:rsidTr="00AF3027">
        <w:trPr>
          <w:trHeight w:val="255"/>
          <w:jc w:val="center"/>
        </w:trPr>
        <w:tc>
          <w:tcPr>
            <w:cnfStyle w:val="001000000000"/>
            <w:tcW w:w="4892" w:type="dxa"/>
            <w:hideMark/>
          </w:tcPr>
          <w:p w:rsidR="00AF3027" w:rsidRPr="00E63CDF" w:rsidRDefault="00AF3027" w:rsidP="00AF3027">
            <w:pPr>
              <w:spacing w:line="360" w:lineRule="auto"/>
              <w:rPr>
                <w:rFonts w:ascii="Verdana" w:eastAsia="Times New Roman" w:hAnsi="Verdana" w:cs="Arial"/>
                <w:b w:val="0"/>
                <w:color w:val="7030A0"/>
                <w:lang w:eastAsia="es-ES"/>
              </w:rPr>
            </w:pPr>
            <w:r w:rsidRPr="00E63CDF">
              <w:rPr>
                <w:rFonts w:ascii="Verdana" w:eastAsia="Times New Roman" w:hAnsi="Verdana" w:cs="Arial"/>
                <w:b w:val="0"/>
                <w:color w:val="7030A0"/>
                <w:lang w:eastAsia="es-ES"/>
              </w:rPr>
              <w:t>2 adultos sin niños dependientes</w:t>
            </w:r>
          </w:p>
        </w:tc>
        <w:tc>
          <w:tcPr>
            <w:tcW w:w="2060" w:type="dxa"/>
            <w:noWrap/>
            <w:hideMark/>
          </w:tcPr>
          <w:p w:rsidR="00AF3027" w:rsidRPr="00E63CDF" w:rsidRDefault="00E63CDF" w:rsidP="000E7217">
            <w:pPr>
              <w:spacing w:line="360" w:lineRule="auto"/>
              <w:jc w:val="center"/>
              <w:cnfStyle w:val="000000000000"/>
              <w:rPr>
                <w:rFonts w:ascii="Verdana" w:eastAsia="Times New Roman" w:hAnsi="Verdana" w:cs="Arial"/>
                <w:color w:val="7030A0"/>
                <w:lang w:eastAsia="es-ES"/>
              </w:rPr>
            </w:pPr>
            <w:r w:rsidRPr="00E63CDF">
              <w:rPr>
                <w:rFonts w:ascii="Verdana" w:eastAsia="Times New Roman" w:hAnsi="Verdana" w:cs="Arial"/>
                <w:color w:val="7030A0"/>
                <w:lang w:eastAsia="es-ES"/>
              </w:rPr>
              <w:t>20,9</w:t>
            </w:r>
          </w:p>
        </w:tc>
      </w:tr>
      <w:tr w:rsidR="00AF3027" w:rsidRPr="00E63CDF" w:rsidTr="00AF3027">
        <w:trPr>
          <w:cnfStyle w:val="000000100000"/>
          <w:trHeight w:val="255"/>
          <w:jc w:val="center"/>
        </w:trPr>
        <w:tc>
          <w:tcPr>
            <w:cnfStyle w:val="001000000000"/>
            <w:tcW w:w="4892" w:type="dxa"/>
            <w:hideMark/>
          </w:tcPr>
          <w:p w:rsidR="00AF3027" w:rsidRPr="00E63CDF" w:rsidRDefault="00AF3027" w:rsidP="00AF3027">
            <w:pPr>
              <w:spacing w:line="360" w:lineRule="auto"/>
              <w:rPr>
                <w:rFonts w:ascii="Verdana" w:eastAsia="Times New Roman" w:hAnsi="Verdana" w:cs="Arial"/>
                <w:b w:val="0"/>
                <w:color w:val="7030A0"/>
                <w:lang w:eastAsia="es-ES"/>
              </w:rPr>
            </w:pPr>
            <w:r w:rsidRPr="00E63CDF">
              <w:rPr>
                <w:rFonts w:ascii="Verdana" w:eastAsia="Times New Roman" w:hAnsi="Verdana" w:cs="Arial"/>
                <w:b w:val="0"/>
                <w:color w:val="7030A0"/>
                <w:lang w:eastAsia="es-ES"/>
              </w:rPr>
              <w:t>Otros hogares sin niños dependientes</w:t>
            </w:r>
          </w:p>
        </w:tc>
        <w:tc>
          <w:tcPr>
            <w:tcW w:w="2060" w:type="dxa"/>
            <w:noWrap/>
            <w:hideMark/>
          </w:tcPr>
          <w:p w:rsidR="00AF3027" w:rsidRPr="00E63CDF" w:rsidRDefault="00E63CDF" w:rsidP="000E7217">
            <w:pPr>
              <w:spacing w:line="360" w:lineRule="auto"/>
              <w:jc w:val="center"/>
              <w:cnfStyle w:val="000000100000"/>
              <w:rPr>
                <w:rFonts w:ascii="Verdana" w:eastAsia="Times New Roman" w:hAnsi="Verdana" w:cs="Arial"/>
                <w:color w:val="7030A0"/>
                <w:lang w:eastAsia="es-ES"/>
              </w:rPr>
            </w:pPr>
            <w:r w:rsidRPr="00E63CDF">
              <w:rPr>
                <w:rFonts w:ascii="Verdana" w:eastAsia="Times New Roman" w:hAnsi="Verdana" w:cs="Arial"/>
                <w:color w:val="7030A0"/>
                <w:lang w:eastAsia="es-ES"/>
              </w:rPr>
              <w:t>22,1</w:t>
            </w:r>
          </w:p>
        </w:tc>
      </w:tr>
      <w:tr w:rsidR="00AF3027" w:rsidRPr="00E63CDF" w:rsidTr="00AF3027">
        <w:trPr>
          <w:trHeight w:val="255"/>
          <w:jc w:val="center"/>
        </w:trPr>
        <w:tc>
          <w:tcPr>
            <w:cnfStyle w:val="001000000000"/>
            <w:tcW w:w="4892" w:type="dxa"/>
            <w:hideMark/>
          </w:tcPr>
          <w:p w:rsidR="00AF3027" w:rsidRPr="00E63CDF" w:rsidRDefault="00AF3027" w:rsidP="00AF3027">
            <w:pPr>
              <w:spacing w:line="360" w:lineRule="auto"/>
              <w:rPr>
                <w:rFonts w:ascii="Verdana" w:eastAsia="Times New Roman" w:hAnsi="Verdana" w:cs="Arial"/>
                <w:b w:val="0"/>
                <w:color w:val="7030A0"/>
                <w:lang w:eastAsia="es-ES"/>
              </w:rPr>
            </w:pPr>
            <w:r w:rsidRPr="00E63CDF">
              <w:rPr>
                <w:rFonts w:ascii="Verdana" w:eastAsia="Times New Roman" w:hAnsi="Verdana" w:cs="Arial"/>
                <w:b w:val="0"/>
                <w:color w:val="7030A0"/>
                <w:lang w:eastAsia="es-ES"/>
              </w:rPr>
              <w:t>1 adulto con 1 ó más niños dependientes</w:t>
            </w:r>
          </w:p>
        </w:tc>
        <w:tc>
          <w:tcPr>
            <w:tcW w:w="2060" w:type="dxa"/>
            <w:noWrap/>
            <w:hideMark/>
          </w:tcPr>
          <w:p w:rsidR="00AF3027" w:rsidRPr="00E63CDF" w:rsidRDefault="00E63CDF" w:rsidP="000E7217">
            <w:pPr>
              <w:spacing w:line="360" w:lineRule="auto"/>
              <w:jc w:val="center"/>
              <w:cnfStyle w:val="000000000000"/>
              <w:rPr>
                <w:rFonts w:ascii="Verdana" w:eastAsia="Times New Roman" w:hAnsi="Verdana" w:cs="Arial"/>
                <w:color w:val="7030A0"/>
                <w:lang w:eastAsia="es-ES"/>
              </w:rPr>
            </w:pPr>
            <w:r w:rsidRPr="00E63CDF">
              <w:rPr>
                <w:rFonts w:ascii="Verdana" w:eastAsia="Times New Roman" w:hAnsi="Verdana" w:cs="Arial"/>
                <w:color w:val="7030A0"/>
                <w:lang w:eastAsia="es-ES"/>
              </w:rPr>
              <w:t>49,1</w:t>
            </w:r>
          </w:p>
        </w:tc>
      </w:tr>
      <w:tr w:rsidR="00AF3027" w:rsidRPr="00E63CDF" w:rsidTr="00AF3027">
        <w:trPr>
          <w:cnfStyle w:val="000000100000"/>
          <w:trHeight w:val="255"/>
          <w:jc w:val="center"/>
        </w:trPr>
        <w:tc>
          <w:tcPr>
            <w:cnfStyle w:val="001000000000"/>
            <w:tcW w:w="4892" w:type="dxa"/>
            <w:hideMark/>
          </w:tcPr>
          <w:p w:rsidR="00AF3027" w:rsidRPr="00E63CDF" w:rsidRDefault="00AF3027" w:rsidP="00AF3027">
            <w:pPr>
              <w:spacing w:line="360" w:lineRule="auto"/>
              <w:rPr>
                <w:rFonts w:ascii="Verdana" w:eastAsia="Times New Roman" w:hAnsi="Verdana" w:cs="Arial"/>
                <w:b w:val="0"/>
                <w:color w:val="7030A0"/>
                <w:lang w:eastAsia="es-ES"/>
              </w:rPr>
            </w:pPr>
            <w:r w:rsidRPr="00E63CDF">
              <w:rPr>
                <w:rFonts w:ascii="Verdana" w:eastAsia="Times New Roman" w:hAnsi="Verdana" w:cs="Arial"/>
                <w:b w:val="0"/>
                <w:color w:val="7030A0"/>
                <w:lang w:eastAsia="es-ES"/>
              </w:rPr>
              <w:t>2 adultos con 1 ó más niños dependientes</w:t>
            </w:r>
          </w:p>
        </w:tc>
        <w:tc>
          <w:tcPr>
            <w:tcW w:w="2060" w:type="dxa"/>
            <w:noWrap/>
            <w:hideMark/>
          </w:tcPr>
          <w:p w:rsidR="00AF3027" w:rsidRPr="00E63CDF" w:rsidRDefault="00E63CDF" w:rsidP="000E7217">
            <w:pPr>
              <w:spacing w:line="360" w:lineRule="auto"/>
              <w:jc w:val="center"/>
              <w:cnfStyle w:val="000000100000"/>
              <w:rPr>
                <w:rFonts w:ascii="Verdana" w:eastAsia="Times New Roman" w:hAnsi="Verdana" w:cs="Arial"/>
                <w:color w:val="7030A0"/>
                <w:lang w:eastAsia="es-ES"/>
              </w:rPr>
            </w:pPr>
            <w:r w:rsidRPr="00E63CDF">
              <w:rPr>
                <w:rFonts w:ascii="Verdana" w:eastAsia="Times New Roman" w:hAnsi="Verdana" w:cs="Arial"/>
                <w:color w:val="7030A0"/>
                <w:lang w:eastAsia="es-ES"/>
              </w:rPr>
              <w:t>24,4</w:t>
            </w:r>
          </w:p>
        </w:tc>
      </w:tr>
      <w:tr w:rsidR="00AF3027" w:rsidRPr="00E63CDF" w:rsidTr="00AF3027">
        <w:trPr>
          <w:trHeight w:val="255"/>
          <w:jc w:val="center"/>
        </w:trPr>
        <w:tc>
          <w:tcPr>
            <w:cnfStyle w:val="001000000000"/>
            <w:tcW w:w="4892" w:type="dxa"/>
            <w:hideMark/>
          </w:tcPr>
          <w:p w:rsidR="00AF3027" w:rsidRPr="00E63CDF" w:rsidRDefault="00AF3027" w:rsidP="00AF3027">
            <w:pPr>
              <w:spacing w:line="360" w:lineRule="auto"/>
              <w:rPr>
                <w:rFonts w:ascii="Verdana" w:eastAsia="Times New Roman" w:hAnsi="Verdana" w:cs="Arial"/>
                <w:b w:val="0"/>
                <w:color w:val="7030A0"/>
                <w:lang w:eastAsia="es-ES"/>
              </w:rPr>
            </w:pPr>
            <w:r w:rsidRPr="00E63CDF">
              <w:rPr>
                <w:rFonts w:ascii="Verdana" w:eastAsia="Times New Roman" w:hAnsi="Verdana" w:cs="Arial"/>
                <w:b w:val="0"/>
                <w:color w:val="7030A0"/>
                <w:lang w:eastAsia="es-ES"/>
              </w:rPr>
              <w:t>Otros hogares con niños dependientes</w:t>
            </w:r>
          </w:p>
        </w:tc>
        <w:tc>
          <w:tcPr>
            <w:tcW w:w="2060" w:type="dxa"/>
            <w:noWrap/>
            <w:hideMark/>
          </w:tcPr>
          <w:p w:rsidR="00AF3027" w:rsidRPr="00E63CDF" w:rsidRDefault="00E63CDF" w:rsidP="000E7217">
            <w:pPr>
              <w:spacing w:line="360" w:lineRule="auto"/>
              <w:jc w:val="center"/>
              <w:cnfStyle w:val="000000000000"/>
              <w:rPr>
                <w:rFonts w:ascii="Verdana" w:eastAsia="Times New Roman" w:hAnsi="Verdana" w:cs="Arial"/>
                <w:color w:val="7030A0"/>
                <w:lang w:eastAsia="es-ES"/>
              </w:rPr>
            </w:pPr>
            <w:r w:rsidRPr="00E63CDF">
              <w:rPr>
                <w:rFonts w:ascii="Verdana" w:eastAsia="Times New Roman" w:hAnsi="Verdana" w:cs="Arial"/>
                <w:color w:val="7030A0"/>
                <w:lang w:eastAsia="es-ES"/>
              </w:rPr>
              <w:t>37,8</w:t>
            </w:r>
          </w:p>
        </w:tc>
      </w:tr>
      <w:tr w:rsidR="00AF3027" w:rsidRPr="00E63CDF" w:rsidTr="00AF3027">
        <w:trPr>
          <w:cnfStyle w:val="000000100000"/>
          <w:trHeight w:val="255"/>
          <w:jc w:val="center"/>
        </w:trPr>
        <w:tc>
          <w:tcPr>
            <w:cnfStyle w:val="001000000000"/>
            <w:tcW w:w="4892" w:type="dxa"/>
            <w:hideMark/>
          </w:tcPr>
          <w:p w:rsidR="00AF3027" w:rsidRPr="00E63CDF" w:rsidRDefault="00AF3027" w:rsidP="00546071">
            <w:pPr>
              <w:spacing w:line="360" w:lineRule="auto"/>
              <w:rPr>
                <w:rFonts w:ascii="Verdana" w:eastAsia="Times New Roman" w:hAnsi="Verdana" w:cs="Arial"/>
                <w:color w:val="7030A0"/>
                <w:lang w:eastAsia="es-ES"/>
              </w:rPr>
            </w:pPr>
            <w:r w:rsidRPr="00E63CDF">
              <w:rPr>
                <w:rFonts w:ascii="Verdana" w:eastAsia="Times New Roman" w:hAnsi="Verdana" w:cs="Arial"/>
                <w:color w:val="7030A0"/>
                <w:lang w:eastAsia="es-ES"/>
              </w:rPr>
              <w:t>Total</w:t>
            </w:r>
          </w:p>
        </w:tc>
        <w:tc>
          <w:tcPr>
            <w:tcW w:w="2060" w:type="dxa"/>
            <w:noWrap/>
            <w:hideMark/>
          </w:tcPr>
          <w:p w:rsidR="00AF3027" w:rsidRPr="00E63CDF" w:rsidRDefault="00E63CDF" w:rsidP="000E7217">
            <w:pPr>
              <w:spacing w:line="360" w:lineRule="auto"/>
              <w:jc w:val="center"/>
              <w:cnfStyle w:val="000000100000"/>
              <w:rPr>
                <w:rFonts w:ascii="Verdana" w:eastAsia="Times New Roman" w:hAnsi="Verdana" w:cs="Arial"/>
                <w:b/>
                <w:color w:val="7030A0"/>
                <w:lang w:eastAsia="es-ES"/>
              </w:rPr>
            </w:pPr>
            <w:r w:rsidRPr="00E63CDF">
              <w:rPr>
                <w:rFonts w:ascii="Verdana" w:eastAsia="Times New Roman" w:hAnsi="Verdana" w:cs="Arial"/>
                <w:b/>
                <w:color w:val="7030A0"/>
                <w:lang w:eastAsia="es-ES"/>
              </w:rPr>
              <w:t>26,4</w:t>
            </w:r>
          </w:p>
        </w:tc>
      </w:tr>
    </w:tbl>
    <w:p w:rsidR="000E7217" w:rsidRPr="00E63CDF" w:rsidRDefault="000E7217" w:rsidP="000E7217">
      <w:pPr>
        <w:spacing w:after="0" w:line="240" w:lineRule="auto"/>
        <w:ind w:left="1416" w:firstLine="708"/>
        <w:jc w:val="both"/>
        <w:rPr>
          <w:rFonts w:ascii="Verdana" w:hAnsi="Verdana"/>
          <w:i/>
          <w:sz w:val="18"/>
          <w:szCs w:val="18"/>
        </w:rPr>
      </w:pPr>
      <w:r w:rsidRPr="00E63CDF">
        <w:rPr>
          <w:rFonts w:ascii="Verdana" w:hAnsi="Verdana"/>
          <w:i/>
          <w:sz w:val="18"/>
          <w:szCs w:val="18"/>
        </w:rPr>
        <w:t>Estrategia 2020</w:t>
      </w:r>
    </w:p>
    <w:p w:rsidR="000E7217" w:rsidRPr="00E63CDF" w:rsidRDefault="000E7217" w:rsidP="000E7217">
      <w:pPr>
        <w:spacing w:after="0" w:line="240" w:lineRule="auto"/>
        <w:jc w:val="both"/>
        <w:rPr>
          <w:rFonts w:ascii="Verdana" w:hAnsi="Verdana"/>
          <w:i/>
          <w:sz w:val="18"/>
          <w:szCs w:val="18"/>
        </w:rPr>
      </w:pPr>
      <w:r w:rsidRPr="00E63CDF">
        <w:rPr>
          <w:rFonts w:ascii="Verdana" w:hAnsi="Verdana"/>
          <w:i/>
          <w:sz w:val="18"/>
          <w:szCs w:val="18"/>
        </w:rPr>
        <w:tab/>
      </w:r>
      <w:r w:rsidRPr="00E63CDF">
        <w:rPr>
          <w:rFonts w:ascii="Verdana" w:hAnsi="Verdana"/>
          <w:i/>
          <w:sz w:val="18"/>
          <w:szCs w:val="18"/>
        </w:rPr>
        <w:tab/>
      </w:r>
      <w:r w:rsidRPr="00E63CDF">
        <w:rPr>
          <w:rFonts w:ascii="Verdana" w:hAnsi="Verdana"/>
          <w:i/>
          <w:sz w:val="18"/>
          <w:szCs w:val="18"/>
        </w:rPr>
        <w:tab/>
        <w:t>Unidad: porcentaje</w:t>
      </w:r>
    </w:p>
    <w:p w:rsidR="000E7217" w:rsidRPr="00E63CDF" w:rsidRDefault="000E7217" w:rsidP="000E7217">
      <w:pPr>
        <w:spacing w:after="0" w:line="240" w:lineRule="auto"/>
        <w:jc w:val="both"/>
        <w:rPr>
          <w:rFonts w:ascii="Verdana" w:hAnsi="Verdana"/>
          <w:i/>
          <w:sz w:val="18"/>
          <w:szCs w:val="18"/>
        </w:rPr>
      </w:pPr>
      <w:r w:rsidRPr="00E63CDF">
        <w:rPr>
          <w:rFonts w:ascii="Verdana" w:hAnsi="Verdana"/>
          <w:i/>
          <w:sz w:val="18"/>
          <w:szCs w:val="18"/>
        </w:rPr>
        <w:tab/>
      </w:r>
      <w:r w:rsidRPr="00E63CDF">
        <w:rPr>
          <w:rFonts w:ascii="Verdana" w:hAnsi="Verdana"/>
          <w:i/>
          <w:sz w:val="18"/>
          <w:szCs w:val="18"/>
        </w:rPr>
        <w:tab/>
      </w:r>
      <w:r w:rsidRPr="00E63CDF">
        <w:rPr>
          <w:rFonts w:ascii="Verdana" w:hAnsi="Verdana"/>
          <w:i/>
          <w:sz w:val="18"/>
          <w:szCs w:val="18"/>
        </w:rPr>
        <w:tab/>
      </w:r>
      <w:proofErr w:type="spellStart"/>
      <w:r w:rsidRPr="00E63CDF">
        <w:rPr>
          <w:rFonts w:ascii="Verdana" w:hAnsi="Verdana"/>
          <w:i/>
          <w:sz w:val="18"/>
          <w:szCs w:val="18"/>
        </w:rPr>
        <w:t>Fte</w:t>
      </w:r>
      <w:proofErr w:type="spellEnd"/>
      <w:r w:rsidRPr="00E63CDF">
        <w:rPr>
          <w:rFonts w:ascii="Verdana" w:hAnsi="Verdana"/>
          <w:i/>
          <w:sz w:val="18"/>
          <w:szCs w:val="18"/>
        </w:rPr>
        <w:t>: INE “Encuesta de Condiciones de Vida”</w:t>
      </w:r>
    </w:p>
    <w:p w:rsidR="00110BCE" w:rsidRPr="00E63CDF" w:rsidRDefault="00110BCE" w:rsidP="004F6B7E">
      <w:pPr>
        <w:jc w:val="both"/>
        <w:rPr>
          <w:rFonts w:ascii="Verdana" w:hAnsi="Verdana"/>
        </w:rPr>
      </w:pPr>
    </w:p>
    <w:p w:rsidR="00665122" w:rsidRDefault="00665122" w:rsidP="00251AC0">
      <w:pPr>
        <w:jc w:val="both"/>
        <w:rPr>
          <w:rFonts w:ascii="Verdana" w:hAnsi="Verdana"/>
          <w:b/>
          <w:color w:val="7030A0"/>
          <w:highlight w:val="yellow"/>
        </w:rPr>
      </w:pPr>
    </w:p>
    <w:p w:rsidR="0083075F" w:rsidRDefault="0083075F" w:rsidP="00251AC0">
      <w:pPr>
        <w:jc w:val="both"/>
        <w:rPr>
          <w:rFonts w:ascii="Verdana" w:hAnsi="Verdana"/>
          <w:b/>
          <w:color w:val="7030A0"/>
          <w:highlight w:val="yellow"/>
        </w:rPr>
      </w:pPr>
    </w:p>
    <w:p w:rsidR="0083075F" w:rsidRDefault="0083075F" w:rsidP="00251AC0">
      <w:pPr>
        <w:jc w:val="both"/>
        <w:rPr>
          <w:rFonts w:ascii="Verdana" w:hAnsi="Verdana"/>
          <w:b/>
          <w:color w:val="7030A0"/>
          <w:highlight w:val="yellow"/>
        </w:rPr>
      </w:pPr>
    </w:p>
    <w:p w:rsidR="0083075F" w:rsidRDefault="0083075F" w:rsidP="00251AC0">
      <w:pPr>
        <w:jc w:val="both"/>
        <w:rPr>
          <w:rFonts w:ascii="Verdana" w:hAnsi="Verdana"/>
          <w:b/>
          <w:color w:val="7030A0"/>
          <w:highlight w:val="yellow"/>
        </w:rPr>
      </w:pPr>
    </w:p>
    <w:p w:rsidR="0083075F" w:rsidRDefault="0083075F" w:rsidP="00251AC0">
      <w:pPr>
        <w:jc w:val="both"/>
        <w:rPr>
          <w:rFonts w:ascii="Verdana" w:hAnsi="Verdana"/>
          <w:b/>
          <w:color w:val="7030A0"/>
          <w:highlight w:val="yellow"/>
        </w:rPr>
      </w:pPr>
    </w:p>
    <w:p w:rsidR="0083075F" w:rsidRDefault="0083075F" w:rsidP="00251AC0">
      <w:pPr>
        <w:jc w:val="both"/>
        <w:rPr>
          <w:rFonts w:ascii="Verdana" w:hAnsi="Verdana"/>
          <w:b/>
          <w:color w:val="7030A0"/>
          <w:highlight w:val="yellow"/>
        </w:rPr>
      </w:pPr>
    </w:p>
    <w:p w:rsidR="0083075F" w:rsidRDefault="0083075F" w:rsidP="00251AC0">
      <w:pPr>
        <w:jc w:val="both"/>
        <w:rPr>
          <w:rFonts w:ascii="Verdana" w:hAnsi="Verdana"/>
          <w:b/>
          <w:color w:val="7030A0"/>
          <w:highlight w:val="yellow"/>
        </w:rPr>
      </w:pPr>
    </w:p>
    <w:p w:rsidR="0083075F" w:rsidRDefault="0083075F" w:rsidP="00251AC0">
      <w:pPr>
        <w:jc w:val="both"/>
        <w:rPr>
          <w:rFonts w:ascii="Verdana" w:hAnsi="Verdana"/>
          <w:b/>
          <w:color w:val="7030A0"/>
          <w:highlight w:val="yellow"/>
        </w:rPr>
      </w:pPr>
    </w:p>
    <w:p w:rsidR="0083075F" w:rsidRDefault="0083075F" w:rsidP="00251AC0">
      <w:pPr>
        <w:jc w:val="both"/>
        <w:rPr>
          <w:rFonts w:ascii="Verdana" w:hAnsi="Verdana"/>
          <w:b/>
          <w:color w:val="7030A0"/>
          <w:highlight w:val="yellow"/>
        </w:rPr>
      </w:pPr>
    </w:p>
    <w:p w:rsidR="0083075F" w:rsidRDefault="0083075F" w:rsidP="00251AC0">
      <w:pPr>
        <w:jc w:val="both"/>
        <w:rPr>
          <w:rFonts w:ascii="Verdana" w:hAnsi="Verdana"/>
          <w:b/>
          <w:color w:val="7030A0"/>
          <w:highlight w:val="yellow"/>
        </w:rPr>
      </w:pPr>
    </w:p>
    <w:p w:rsidR="0083075F" w:rsidRPr="00F05FD6" w:rsidRDefault="0083075F" w:rsidP="00251AC0">
      <w:pPr>
        <w:jc w:val="both"/>
        <w:rPr>
          <w:rFonts w:ascii="Verdana" w:hAnsi="Verdana"/>
          <w:highlight w:val="yellow"/>
        </w:rPr>
      </w:pPr>
    </w:p>
    <w:p w:rsidR="00355B13" w:rsidRPr="00B913C7" w:rsidRDefault="004D17CB" w:rsidP="0002338C">
      <w:pPr>
        <w:pStyle w:val="Prrafodelista"/>
        <w:numPr>
          <w:ilvl w:val="0"/>
          <w:numId w:val="12"/>
        </w:numPr>
        <w:pBdr>
          <w:bottom w:val="single" w:sz="4" w:space="1" w:color="5F497A" w:themeColor="accent4" w:themeShade="BF"/>
        </w:pBdr>
        <w:jc w:val="both"/>
        <w:rPr>
          <w:rFonts w:asciiTheme="majorHAnsi" w:eastAsiaTheme="majorEastAsia" w:hAnsiTheme="majorHAnsi" w:cstheme="majorBidi"/>
          <w:color w:val="7030A0"/>
          <w:spacing w:val="5"/>
          <w:kern w:val="28"/>
          <w:sz w:val="52"/>
          <w:szCs w:val="52"/>
        </w:rPr>
      </w:pPr>
      <w:r w:rsidRPr="00B913C7">
        <w:rPr>
          <w:rFonts w:asciiTheme="majorHAnsi" w:eastAsiaTheme="majorEastAsia" w:hAnsiTheme="majorHAnsi" w:cstheme="majorBidi"/>
          <w:color w:val="7030A0"/>
          <w:spacing w:val="5"/>
          <w:kern w:val="28"/>
          <w:sz w:val="52"/>
          <w:szCs w:val="52"/>
        </w:rPr>
        <w:lastRenderedPageBreak/>
        <w:t>INGRESOS Y GASTOS DE LOS HOGARES</w:t>
      </w:r>
    </w:p>
    <w:p w:rsidR="00355B13" w:rsidRPr="00B913C7" w:rsidRDefault="00355B13" w:rsidP="00355B13">
      <w:pPr>
        <w:spacing w:line="360" w:lineRule="auto"/>
        <w:jc w:val="both"/>
        <w:rPr>
          <w:rFonts w:ascii="Verdana" w:eastAsiaTheme="majorEastAsia" w:hAnsi="Verdana" w:cstheme="majorBidi"/>
          <w:spacing w:val="5"/>
          <w:kern w:val="28"/>
        </w:rPr>
      </w:pPr>
    </w:p>
    <w:p w:rsidR="00251AC0" w:rsidRPr="00047008" w:rsidRDefault="00355B13" w:rsidP="00251AC0">
      <w:pPr>
        <w:pStyle w:val="Prrafodelista"/>
        <w:numPr>
          <w:ilvl w:val="0"/>
          <w:numId w:val="13"/>
        </w:numPr>
        <w:spacing w:line="360" w:lineRule="auto"/>
        <w:jc w:val="both"/>
        <w:rPr>
          <w:rFonts w:ascii="Verdana" w:eastAsiaTheme="majorEastAsia" w:hAnsi="Verdana" w:cstheme="majorBidi"/>
          <w:b/>
          <w:color w:val="7030A0"/>
          <w:spacing w:val="5"/>
          <w:kern w:val="28"/>
        </w:rPr>
      </w:pPr>
      <w:r w:rsidRPr="00B913C7">
        <w:rPr>
          <w:rFonts w:ascii="Verdana" w:eastAsiaTheme="majorEastAsia" w:hAnsi="Verdana" w:cstheme="majorBidi"/>
          <w:b/>
          <w:color w:val="7030A0"/>
          <w:spacing w:val="5"/>
          <w:kern w:val="28"/>
        </w:rPr>
        <w:t>RENTA MEDIA DE LOS HOGARES</w:t>
      </w:r>
    </w:p>
    <w:p w:rsidR="00B913C7" w:rsidRDefault="00B913C7" w:rsidP="00251AC0">
      <w:pPr>
        <w:spacing w:line="360" w:lineRule="auto"/>
        <w:jc w:val="both"/>
        <w:rPr>
          <w:rFonts w:ascii="Verdana" w:hAnsi="Verdana"/>
        </w:rPr>
      </w:pPr>
      <w:r w:rsidRPr="00B913C7">
        <w:rPr>
          <w:rFonts w:ascii="Verdana" w:hAnsi="Verdana"/>
        </w:rPr>
        <w:t>La renta anual neta media de los hogares</w:t>
      </w:r>
      <w:r w:rsidRPr="00B913C7">
        <w:rPr>
          <w:rStyle w:val="Refdenotaalpie"/>
          <w:rFonts w:ascii="Verdana" w:hAnsi="Verdana"/>
        </w:rPr>
        <w:footnoteReference w:id="5"/>
      </w:r>
      <w:r w:rsidRPr="00B913C7">
        <w:rPr>
          <w:rFonts w:ascii="Verdana" w:hAnsi="Verdana"/>
        </w:rPr>
        <w:t xml:space="preserve"> no ha conseguido alcanzar</w:t>
      </w:r>
      <w:r>
        <w:rPr>
          <w:rFonts w:ascii="Verdana" w:hAnsi="Verdana"/>
        </w:rPr>
        <w:t xml:space="preserve"> los niveles disponibles cuando irrumpió la crisis del año 2008. </w:t>
      </w:r>
    </w:p>
    <w:p w:rsidR="00B913C7" w:rsidRDefault="00B913C7" w:rsidP="00251AC0">
      <w:pPr>
        <w:spacing w:line="360" w:lineRule="auto"/>
        <w:jc w:val="both"/>
        <w:rPr>
          <w:rFonts w:ascii="Verdana" w:hAnsi="Verdana"/>
        </w:rPr>
      </w:pPr>
      <w:r>
        <w:rPr>
          <w:rFonts w:ascii="Verdana" w:hAnsi="Verdana"/>
          <w:noProof/>
          <w:lang w:eastAsia="es-ES"/>
        </w:rPr>
        <w:drawing>
          <wp:anchor distT="0" distB="0" distL="114300" distR="114300" simplePos="0" relativeHeight="251666432" behindDoc="0" locked="0" layoutInCell="1" allowOverlap="1">
            <wp:simplePos x="0" y="0"/>
            <wp:positionH relativeFrom="margin">
              <wp:posOffset>2357755</wp:posOffset>
            </wp:positionH>
            <wp:positionV relativeFrom="margin">
              <wp:posOffset>2995930</wp:posOffset>
            </wp:positionV>
            <wp:extent cx="3515360" cy="2409190"/>
            <wp:effectExtent l="19050" t="0" r="27940" b="0"/>
            <wp:wrapSquare wrapText="bothSides"/>
            <wp:docPr id="18"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r>
        <w:rPr>
          <w:rFonts w:ascii="Verdana" w:hAnsi="Verdana"/>
        </w:rPr>
        <w:t xml:space="preserve">Cabe señalar que los </w:t>
      </w:r>
      <w:r w:rsidRPr="007F6F7E">
        <w:rPr>
          <w:rFonts w:ascii="Verdana" w:hAnsi="Verdana"/>
          <w:b/>
          <w:color w:val="7030A0"/>
        </w:rPr>
        <w:t>datos corresponden al año anterior a la entrevista</w:t>
      </w:r>
      <w:r>
        <w:rPr>
          <w:rFonts w:ascii="Verdana" w:hAnsi="Verdana"/>
        </w:rPr>
        <w:t>, por tanto son referidos al año 2019 y no recoge</w:t>
      </w:r>
      <w:r w:rsidR="00F47103">
        <w:rPr>
          <w:rFonts w:ascii="Verdana" w:hAnsi="Verdana"/>
        </w:rPr>
        <w:t>n</w:t>
      </w:r>
      <w:r>
        <w:rPr>
          <w:rFonts w:ascii="Verdana" w:hAnsi="Verdana"/>
        </w:rPr>
        <w:t xml:space="preserve"> aún el impacto de la pandemia. En el año 2020, la renta media por hogar en Asturias</w:t>
      </w:r>
      <w:r w:rsidR="004677B5">
        <w:rPr>
          <w:rFonts w:ascii="Verdana" w:hAnsi="Verdana"/>
        </w:rPr>
        <w:t xml:space="preserve"> se sitúa en 28.284 euros, aumentando un 1,4% en relación al año anterior.</w:t>
      </w:r>
    </w:p>
    <w:p w:rsidR="00B913C7" w:rsidRPr="00B913C7" w:rsidRDefault="004677B5" w:rsidP="00251AC0">
      <w:pPr>
        <w:spacing w:line="360" w:lineRule="auto"/>
        <w:jc w:val="both"/>
        <w:rPr>
          <w:rFonts w:ascii="Verdana" w:hAnsi="Verdana"/>
        </w:rPr>
      </w:pPr>
      <w:r>
        <w:rPr>
          <w:rFonts w:ascii="Verdana" w:hAnsi="Verdana"/>
        </w:rPr>
        <w:t xml:space="preserve">La  renta neta media por hogares en Asturias es inferior a la media del país que se sitúa en 30.690 euros, </w:t>
      </w:r>
      <w:r w:rsidR="00F47103">
        <w:rPr>
          <w:rFonts w:ascii="Verdana" w:hAnsi="Verdana"/>
        </w:rPr>
        <w:t>lo que arroja un</w:t>
      </w:r>
      <w:r>
        <w:rPr>
          <w:rFonts w:ascii="Verdana" w:hAnsi="Verdana"/>
        </w:rPr>
        <w:t xml:space="preserve"> diferencial </w:t>
      </w:r>
      <w:r w:rsidR="00F47103">
        <w:rPr>
          <w:rFonts w:ascii="Verdana" w:hAnsi="Verdana"/>
        </w:rPr>
        <w:t>de</w:t>
      </w:r>
      <w:r>
        <w:rPr>
          <w:rFonts w:ascii="Verdana" w:hAnsi="Verdana"/>
        </w:rPr>
        <w:t xml:space="preserve"> 2.406 euros menos.</w:t>
      </w:r>
    </w:p>
    <w:p w:rsidR="00251AC0" w:rsidRPr="00146799" w:rsidRDefault="00251AC0" w:rsidP="00251AC0">
      <w:pPr>
        <w:spacing w:line="360" w:lineRule="auto"/>
        <w:jc w:val="both"/>
        <w:rPr>
          <w:rFonts w:ascii="Verdana" w:hAnsi="Verdana"/>
        </w:rPr>
      </w:pPr>
      <w:r w:rsidRPr="00146799">
        <w:rPr>
          <w:rFonts w:ascii="Verdana" w:hAnsi="Verdana"/>
        </w:rPr>
        <w:t>Desde que irrumpió la crisis</w:t>
      </w:r>
      <w:r w:rsidR="004677B5" w:rsidRPr="00146799">
        <w:rPr>
          <w:rFonts w:ascii="Verdana" w:hAnsi="Verdana"/>
        </w:rPr>
        <w:t xml:space="preserve"> del año 2008</w:t>
      </w:r>
      <w:r w:rsidRPr="00146799">
        <w:rPr>
          <w:rFonts w:ascii="Verdana" w:hAnsi="Verdana"/>
        </w:rPr>
        <w:t xml:space="preserve">, la renta </w:t>
      </w:r>
      <w:r w:rsidR="00665122" w:rsidRPr="00146799">
        <w:rPr>
          <w:rFonts w:ascii="Verdana" w:hAnsi="Verdana"/>
        </w:rPr>
        <w:t xml:space="preserve">anual neta </w:t>
      </w:r>
      <w:r w:rsidRPr="00146799">
        <w:rPr>
          <w:rFonts w:ascii="Verdana" w:hAnsi="Verdana"/>
        </w:rPr>
        <w:t>media de los hogares</w:t>
      </w:r>
      <w:r w:rsidR="004677B5" w:rsidRPr="00146799">
        <w:rPr>
          <w:rFonts w:ascii="Verdana" w:hAnsi="Verdana"/>
        </w:rPr>
        <w:t xml:space="preserve"> </w:t>
      </w:r>
      <w:r w:rsidRPr="00146799">
        <w:rPr>
          <w:rFonts w:ascii="Verdana" w:hAnsi="Verdana"/>
        </w:rPr>
        <w:t xml:space="preserve">ha venido descendiendo intensamente, en el caso de </w:t>
      </w:r>
      <w:r w:rsidRPr="00146799">
        <w:rPr>
          <w:rFonts w:ascii="Verdana" w:hAnsi="Verdana"/>
          <w:b/>
          <w:color w:val="7030A0"/>
        </w:rPr>
        <w:t>Asturias</w:t>
      </w:r>
      <w:r w:rsidRPr="00146799">
        <w:rPr>
          <w:rFonts w:ascii="Verdana" w:hAnsi="Verdana"/>
        </w:rPr>
        <w:t xml:space="preserve"> ha pasado de una renta media de 29.473 euros en 2008 a </w:t>
      </w:r>
      <w:r w:rsidR="00146799" w:rsidRPr="00146799">
        <w:rPr>
          <w:rFonts w:ascii="Verdana" w:hAnsi="Verdana"/>
        </w:rPr>
        <w:t>28.284 euros en 2020</w:t>
      </w:r>
      <w:r w:rsidRPr="00146799">
        <w:rPr>
          <w:rFonts w:ascii="Verdana" w:hAnsi="Verdana"/>
        </w:rPr>
        <w:t xml:space="preserve">, lo que supone una </w:t>
      </w:r>
      <w:r w:rsidRPr="00146799">
        <w:rPr>
          <w:rFonts w:ascii="Verdana" w:hAnsi="Verdana"/>
          <w:b/>
          <w:color w:val="7030A0"/>
        </w:rPr>
        <w:t xml:space="preserve">caída del </w:t>
      </w:r>
      <w:r w:rsidR="00146799" w:rsidRPr="00146799">
        <w:rPr>
          <w:rFonts w:ascii="Verdana" w:hAnsi="Verdana"/>
          <w:b/>
          <w:color w:val="7030A0"/>
        </w:rPr>
        <w:t>4</w:t>
      </w:r>
      <w:r w:rsidRPr="00146799">
        <w:rPr>
          <w:rFonts w:ascii="Verdana" w:hAnsi="Verdana"/>
          <w:b/>
          <w:color w:val="7030A0"/>
        </w:rPr>
        <w:t>%</w:t>
      </w:r>
      <w:r w:rsidRPr="00146799">
        <w:rPr>
          <w:rFonts w:ascii="Verdana" w:hAnsi="Verdana"/>
        </w:rPr>
        <w:t xml:space="preserve"> (</w:t>
      </w:r>
      <w:r w:rsidR="00146799" w:rsidRPr="00146799">
        <w:rPr>
          <w:rFonts w:ascii="Verdana" w:hAnsi="Verdana"/>
          <w:b/>
          <w:color w:val="7030A0"/>
        </w:rPr>
        <w:t>1.189</w:t>
      </w:r>
      <w:r w:rsidRPr="00146799">
        <w:rPr>
          <w:rFonts w:ascii="Verdana" w:hAnsi="Verdana"/>
          <w:b/>
          <w:color w:val="7030A0"/>
        </w:rPr>
        <w:t xml:space="preserve"> euros menos</w:t>
      </w:r>
      <w:r w:rsidRPr="00146799">
        <w:rPr>
          <w:rFonts w:ascii="Verdana" w:hAnsi="Verdana"/>
        </w:rPr>
        <w:t xml:space="preserve">), </w:t>
      </w:r>
      <w:r w:rsidR="00146799" w:rsidRPr="00146799">
        <w:rPr>
          <w:rFonts w:ascii="Verdana" w:hAnsi="Verdana"/>
        </w:rPr>
        <w:t>mientras que</w:t>
      </w:r>
      <w:r w:rsidRPr="00146799">
        <w:rPr>
          <w:rFonts w:ascii="Verdana" w:hAnsi="Verdana"/>
        </w:rPr>
        <w:t xml:space="preserve"> en el país la renta </w:t>
      </w:r>
      <w:r w:rsidR="00146799" w:rsidRPr="00146799">
        <w:rPr>
          <w:rFonts w:ascii="Verdana" w:hAnsi="Verdana"/>
        </w:rPr>
        <w:t>crec</w:t>
      </w:r>
      <w:r w:rsidRPr="00146799">
        <w:rPr>
          <w:rFonts w:ascii="Verdana" w:hAnsi="Verdana"/>
        </w:rPr>
        <w:t xml:space="preserve">e un </w:t>
      </w:r>
      <w:r w:rsidR="00146799" w:rsidRPr="00146799">
        <w:rPr>
          <w:rFonts w:ascii="Verdana" w:hAnsi="Verdana"/>
        </w:rPr>
        <w:t>6,6</w:t>
      </w:r>
      <w:r w:rsidRPr="00146799">
        <w:rPr>
          <w:rFonts w:ascii="Verdana" w:hAnsi="Verdana"/>
        </w:rPr>
        <w:t xml:space="preserve">% entre ambos años. </w:t>
      </w:r>
    </w:p>
    <w:p w:rsidR="001D0126" w:rsidRPr="004677B5" w:rsidRDefault="00251AC0" w:rsidP="00355B13">
      <w:pPr>
        <w:spacing w:line="360" w:lineRule="auto"/>
        <w:jc w:val="both"/>
        <w:rPr>
          <w:rFonts w:ascii="Verdana" w:hAnsi="Verdana"/>
        </w:rPr>
      </w:pPr>
      <w:r w:rsidRPr="004677B5">
        <w:rPr>
          <w:rFonts w:ascii="Verdana" w:hAnsi="Verdana"/>
        </w:rPr>
        <w:t>Los datos ponen de manifiesto la incidencia sobre la renta de los hogares  que han tenido los duros recortes en nuestro estado del bienestar, logrando el valor mínimo en el año 2014</w:t>
      </w:r>
      <w:r w:rsidR="00665122" w:rsidRPr="004677B5">
        <w:rPr>
          <w:rFonts w:ascii="Verdana" w:hAnsi="Verdana"/>
        </w:rPr>
        <w:t xml:space="preserve"> (año anterior a la entrevista, por tanto correspondería al año 2013)</w:t>
      </w:r>
      <w:r w:rsidRPr="004677B5">
        <w:rPr>
          <w:rFonts w:ascii="Verdana" w:hAnsi="Verdana"/>
        </w:rPr>
        <w:t>, donde la renta cayó más de un 13% respecto a 2008.</w:t>
      </w:r>
    </w:p>
    <w:p w:rsidR="00184D48" w:rsidRDefault="00184D48" w:rsidP="00355B13">
      <w:pPr>
        <w:spacing w:line="360" w:lineRule="auto"/>
        <w:jc w:val="both"/>
        <w:rPr>
          <w:rFonts w:ascii="Verdana" w:eastAsiaTheme="majorEastAsia" w:hAnsi="Verdana" w:cstheme="majorBidi"/>
          <w:b/>
          <w:color w:val="7030A0"/>
          <w:spacing w:val="5"/>
          <w:kern w:val="28"/>
        </w:rPr>
      </w:pPr>
    </w:p>
    <w:p w:rsidR="004C5545" w:rsidRPr="0002338C" w:rsidRDefault="00355B13" w:rsidP="0002338C">
      <w:pPr>
        <w:pStyle w:val="Prrafodelista"/>
        <w:numPr>
          <w:ilvl w:val="0"/>
          <w:numId w:val="14"/>
        </w:numPr>
        <w:spacing w:line="360" w:lineRule="auto"/>
        <w:jc w:val="both"/>
        <w:rPr>
          <w:rFonts w:ascii="Verdana" w:eastAsiaTheme="majorEastAsia" w:hAnsi="Verdana" w:cstheme="majorBidi"/>
          <w:b/>
          <w:color w:val="7030A0"/>
          <w:spacing w:val="5"/>
          <w:kern w:val="28"/>
        </w:rPr>
      </w:pPr>
      <w:r w:rsidRPr="0002338C">
        <w:rPr>
          <w:rFonts w:ascii="Verdana" w:eastAsiaTheme="majorEastAsia" w:hAnsi="Verdana" w:cstheme="majorBidi"/>
          <w:b/>
          <w:color w:val="7030A0"/>
          <w:spacing w:val="5"/>
          <w:kern w:val="28"/>
        </w:rPr>
        <w:t>GASTO MEDIO POR HOGAR</w:t>
      </w:r>
    </w:p>
    <w:p w:rsidR="004C5545" w:rsidRPr="00F05FD6" w:rsidRDefault="00251AC0" w:rsidP="00251AC0">
      <w:pPr>
        <w:spacing w:line="360" w:lineRule="auto"/>
        <w:jc w:val="both"/>
        <w:rPr>
          <w:rFonts w:ascii="Verdana" w:hAnsi="Verdana"/>
        </w:rPr>
      </w:pPr>
      <w:r w:rsidRPr="00F05FD6">
        <w:rPr>
          <w:rFonts w:ascii="Verdana" w:hAnsi="Verdana"/>
        </w:rPr>
        <w:t xml:space="preserve">Del análisis de la Encuesta de Presupuestos Familiares, que elabora el INE, se desprende </w:t>
      </w:r>
      <w:r w:rsidR="00D750EB" w:rsidRPr="00F05FD6">
        <w:rPr>
          <w:rFonts w:ascii="Verdana" w:hAnsi="Verdana"/>
        </w:rPr>
        <w:t>cómo durante el año de pandemia</w:t>
      </w:r>
      <w:r w:rsidR="00F47103">
        <w:rPr>
          <w:rFonts w:ascii="Verdana" w:hAnsi="Verdana"/>
        </w:rPr>
        <w:t>,</w:t>
      </w:r>
      <w:r w:rsidR="00D750EB" w:rsidRPr="00F05FD6">
        <w:rPr>
          <w:rFonts w:ascii="Verdana" w:hAnsi="Verdana"/>
        </w:rPr>
        <w:t xml:space="preserve"> debido a las restricciones como el confinamiento, la limitación de la movilidad, cierres de actividades productivas… </w:t>
      </w:r>
      <w:r w:rsidR="00F47103">
        <w:rPr>
          <w:rFonts w:ascii="Verdana" w:hAnsi="Verdana"/>
        </w:rPr>
        <w:t>se ha producido</w:t>
      </w:r>
      <w:r w:rsidR="00D750EB" w:rsidRPr="00F05FD6">
        <w:rPr>
          <w:rFonts w:ascii="Verdana" w:hAnsi="Verdana"/>
        </w:rPr>
        <w:t xml:space="preserve"> una </w:t>
      </w:r>
      <w:r w:rsidR="00D750EB" w:rsidRPr="007F6F7E">
        <w:rPr>
          <w:rFonts w:ascii="Verdana" w:hAnsi="Verdana"/>
          <w:b/>
          <w:color w:val="7030A0"/>
        </w:rPr>
        <w:t xml:space="preserve">fuerte </w:t>
      </w:r>
      <w:r w:rsidR="004C5545" w:rsidRPr="007F6F7E">
        <w:rPr>
          <w:rFonts w:ascii="Verdana" w:hAnsi="Verdana"/>
          <w:b/>
          <w:color w:val="7030A0"/>
        </w:rPr>
        <w:t>caída del</w:t>
      </w:r>
      <w:r w:rsidRPr="007F6F7E">
        <w:rPr>
          <w:rFonts w:ascii="Verdana" w:hAnsi="Verdana"/>
          <w:b/>
          <w:color w:val="7030A0"/>
        </w:rPr>
        <w:t xml:space="preserve"> gasto medio por hogar</w:t>
      </w:r>
      <w:r w:rsidR="00D750EB" w:rsidRPr="00F05FD6">
        <w:rPr>
          <w:rFonts w:ascii="Verdana" w:hAnsi="Verdana"/>
        </w:rPr>
        <w:t xml:space="preserve">, así este gasto se ha situado en 23.504,5 euros anuales. Lo que arroja una </w:t>
      </w:r>
      <w:r w:rsidR="00D750EB" w:rsidRPr="007F6F7E">
        <w:rPr>
          <w:rFonts w:ascii="Verdana" w:hAnsi="Verdana"/>
          <w:b/>
          <w:color w:val="7030A0"/>
        </w:rPr>
        <w:t>caída del 14,1%</w:t>
      </w:r>
      <w:r w:rsidR="00D750EB" w:rsidRPr="00F05FD6">
        <w:rPr>
          <w:rFonts w:ascii="Verdana" w:hAnsi="Verdana"/>
        </w:rPr>
        <w:t xml:space="preserve"> (3.862,5 euros menos), por encima de la media nacional (-10,7%).</w:t>
      </w:r>
    </w:p>
    <w:p w:rsidR="00DA5B4D" w:rsidRPr="007F6F7E" w:rsidRDefault="00DA5B4D" w:rsidP="00251AC0">
      <w:pPr>
        <w:spacing w:line="360" w:lineRule="auto"/>
        <w:jc w:val="both"/>
        <w:rPr>
          <w:rFonts w:ascii="Verdana" w:hAnsi="Verdana"/>
          <w:color w:val="7030A0"/>
        </w:rPr>
      </w:pPr>
      <w:r w:rsidRPr="00F05FD6">
        <w:rPr>
          <w:rFonts w:ascii="Verdana" w:hAnsi="Verdana"/>
        </w:rPr>
        <w:t>Cabe señalar que esta</w:t>
      </w:r>
      <w:r w:rsidRPr="00F05FD6">
        <w:rPr>
          <w:rFonts w:ascii="Verdana" w:hAnsi="Verdana"/>
          <w:b/>
          <w:color w:val="7030A0"/>
        </w:rPr>
        <w:t xml:space="preserve"> </w:t>
      </w:r>
      <w:r w:rsidR="00251AC0" w:rsidRPr="00F05FD6">
        <w:rPr>
          <w:rFonts w:ascii="Verdana" w:hAnsi="Verdana"/>
        </w:rPr>
        <w:t>encuesta no recoge el pago de una hipoteca para la compra de la vivienda</w:t>
      </w:r>
      <w:r w:rsidR="00F47103">
        <w:rPr>
          <w:rFonts w:ascii="Verdana" w:hAnsi="Verdana"/>
        </w:rPr>
        <w:t>,</w:t>
      </w:r>
      <w:r w:rsidR="00251AC0" w:rsidRPr="00F05FD6">
        <w:rPr>
          <w:rFonts w:ascii="Verdana" w:hAnsi="Verdana"/>
        </w:rPr>
        <w:t xml:space="preserve"> al considerarlo un gasto de inversión a largo plazo y no de consumo, lo que supone una </w:t>
      </w:r>
      <w:r w:rsidR="00251AC0" w:rsidRPr="007F6F7E">
        <w:rPr>
          <w:rFonts w:ascii="Verdana" w:hAnsi="Verdana"/>
          <w:b/>
          <w:color w:val="7030A0"/>
        </w:rPr>
        <w:t>infravaloración del gasto de los hogares</w:t>
      </w:r>
      <w:r w:rsidR="00E96EC0" w:rsidRPr="007F6F7E">
        <w:rPr>
          <w:rFonts w:ascii="Verdana" w:hAnsi="Verdana"/>
          <w:color w:val="7030A0"/>
        </w:rPr>
        <w:t>.</w:t>
      </w:r>
      <w:r w:rsidR="00251AC0" w:rsidRPr="007F6F7E">
        <w:rPr>
          <w:rFonts w:ascii="Verdana" w:hAnsi="Verdana"/>
          <w:color w:val="7030A0"/>
        </w:rPr>
        <w:t xml:space="preserve"> </w:t>
      </w:r>
    </w:p>
    <w:p w:rsidR="00184D48" w:rsidRDefault="00184D48" w:rsidP="00251AC0">
      <w:pPr>
        <w:spacing w:line="360" w:lineRule="auto"/>
        <w:jc w:val="both"/>
        <w:rPr>
          <w:rFonts w:ascii="Verdana" w:hAnsi="Verdana"/>
        </w:rPr>
      </w:pPr>
    </w:p>
    <w:p w:rsidR="001C7A09" w:rsidRDefault="001C7A09" w:rsidP="00251AC0">
      <w:pPr>
        <w:spacing w:line="360" w:lineRule="auto"/>
        <w:jc w:val="both"/>
        <w:rPr>
          <w:rFonts w:ascii="Verdana" w:hAnsi="Verdana"/>
          <w:highlight w:val="yellow"/>
        </w:rPr>
      </w:pPr>
      <w:r w:rsidRPr="001C7A09">
        <w:rPr>
          <w:rFonts w:ascii="Verdana" w:hAnsi="Verdana"/>
          <w:noProof/>
          <w:lang w:eastAsia="es-ES"/>
        </w:rPr>
        <w:drawing>
          <wp:inline distT="0" distB="0" distL="0" distR="0">
            <wp:extent cx="5396805" cy="2743200"/>
            <wp:effectExtent l="19050" t="0" r="13395" b="0"/>
            <wp:docPr id="7"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C7A09" w:rsidRDefault="001C7A09" w:rsidP="001C7A09">
      <w:pPr>
        <w:spacing w:after="0" w:line="240" w:lineRule="auto"/>
        <w:jc w:val="both"/>
        <w:rPr>
          <w:rFonts w:ascii="Verdana" w:hAnsi="Verdana"/>
          <w:i/>
          <w:sz w:val="18"/>
          <w:szCs w:val="18"/>
        </w:rPr>
      </w:pPr>
      <w:r>
        <w:rPr>
          <w:rFonts w:ascii="Verdana" w:hAnsi="Verdana"/>
          <w:i/>
          <w:sz w:val="18"/>
          <w:szCs w:val="18"/>
        </w:rPr>
        <w:t>Unidad: euros anuales</w:t>
      </w:r>
    </w:p>
    <w:p w:rsidR="001C7A09" w:rsidRPr="00C21337" w:rsidRDefault="001C7A09" w:rsidP="001C7A09">
      <w:pPr>
        <w:spacing w:after="0" w:line="240" w:lineRule="auto"/>
        <w:jc w:val="both"/>
        <w:rPr>
          <w:rFonts w:ascii="Verdana" w:hAnsi="Verdana"/>
          <w:i/>
          <w:sz w:val="18"/>
          <w:szCs w:val="18"/>
        </w:rPr>
      </w:pPr>
      <w:proofErr w:type="spellStart"/>
      <w:r w:rsidRPr="00C21337">
        <w:rPr>
          <w:rFonts w:ascii="Verdana" w:hAnsi="Verdana"/>
          <w:i/>
          <w:sz w:val="18"/>
          <w:szCs w:val="18"/>
        </w:rPr>
        <w:t>Fte</w:t>
      </w:r>
      <w:proofErr w:type="spellEnd"/>
      <w:r w:rsidRPr="00C21337">
        <w:rPr>
          <w:rFonts w:ascii="Verdana" w:hAnsi="Verdana"/>
          <w:i/>
          <w:sz w:val="18"/>
          <w:szCs w:val="18"/>
        </w:rPr>
        <w:t>: elaboración propia a través de datos el INE, Encuesta de Presupuestos Familiares</w:t>
      </w:r>
    </w:p>
    <w:p w:rsidR="001C7A09" w:rsidRDefault="001C7A09" w:rsidP="00251AC0">
      <w:pPr>
        <w:spacing w:line="360" w:lineRule="auto"/>
        <w:jc w:val="both"/>
        <w:rPr>
          <w:rFonts w:ascii="Verdana" w:hAnsi="Verdana"/>
          <w:highlight w:val="yellow"/>
        </w:rPr>
      </w:pPr>
    </w:p>
    <w:p w:rsidR="00821737" w:rsidRPr="00F05FD6" w:rsidRDefault="00F10EF1" w:rsidP="00540AAA">
      <w:pPr>
        <w:spacing w:line="360" w:lineRule="auto"/>
        <w:jc w:val="both"/>
        <w:rPr>
          <w:rFonts w:ascii="Verdana" w:hAnsi="Verdana"/>
        </w:rPr>
      </w:pPr>
      <w:r w:rsidRPr="00F05FD6">
        <w:rPr>
          <w:rFonts w:ascii="Verdana" w:hAnsi="Verdana"/>
        </w:rPr>
        <w:t>Por tipo de gasto, el desplome en el gasto medio por hogar ha venido impulsado por el descenso en el consumo en restaurantes y hoteles con un retroceso del 49,5%. Seguido de vestido y calzado (-38%)</w:t>
      </w:r>
      <w:r w:rsidR="002152E2" w:rsidRPr="00F05FD6">
        <w:rPr>
          <w:rFonts w:ascii="Verdana" w:hAnsi="Verdana"/>
        </w:rPr>
        <w:t>; transporte (-36,1%) y ocio y cultura (-32,8%).</w:t>
      </w:r>
    </w:p>
    <w:p w:rsidR="00821737" w:rsidRPr="00F05FD6" w:rsidRDefault="00821737" w:rsidP="00540AAA">
      <w:pPr>
        <w:spacing w:line="360" w:lineRule="auto"/>
        <w:jc w:val="both"/>
        <w:rPr>
          <w:rFonts w:ascii="Verdana" w:hAnsi="Verdana"/>
        </w:rPr>
      </w:pPr>
      <w:r w:rsidRPr="00F05FD6">
        <w:rPr>
          <w:rFonts w:ascii="Verdana" w:hAnsi="Verdana"/>
          <w:noProof/>
          <w:lang w:eastAsia="es-ES"/>
        </w:rPr>
        <w:lastRenderedPageBreak/>
        <w:drawing>
          <wp:inline distT="0" distB="0" distL="0" distR="0">
            <wp:extent cx="5401531" cy="4723075"/>
            <wp:effectExtent l="19050" t="0" r="27719" b="1325"/>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82D2B" w:rsidRPr="00047008" w:rsidRDefault="00C21337" w:rsidP="00110BCE">
      <w:pPr>
        <w:spacing w:line="360" w:lineRule="auto"/>
        <w:jc w:val="both"/>
        <w:rPr>
          <w:rFonts w:ascii="Verdana" w:hAnsi="Verdana"/>
          <w:i/>
          <w:sz w:val="18"/>
          <w:szCs w:val="18"/>
        </w:rPr>
      </w:pPr>
      <w:proofErr w:type="spellStart"/>
      <w:r w:rsidRPr="00F05FD6">
        <w:rPr>
          <w:rFonts w:ascii="Verdana" w:hAnsi="Verdana"/>
          <w:i/>
          <w:sz w:val="18"/>
          <w:szCs w:val="18"/>
        </w:rPr>
        <w:t>Fte</w:t>
      </w:r>
      <w:proofErr w:type="spellEnd"/>
      <w:r w:rsidRPr="00F05FD6">
        <w:rPr>
          <w:rFonts w:ascii="Verdana" w:hAnsi="Verdana"/>
          <w:i/>
          <w:sz w:val="18"/>
          <w:szCs w:val="18"/>
        </w:rPr>
        <w:t>: elaboración propia a través de datos el INE, Encuesta de Presupuestos Familiares</w:t>
      </w:r>
    </w:p>
    <w:p w:rsidR="007F6F7E" w:rsidRDefault="007F6F7E" w:rsidP="00110BCE">
      <w:pPr>
        <w:spacing w:line="360" w:lineRule="auto"/>
        <w:jc w:val="both"/>
        <w:rPr>
          <w:rFonts w:ascii="Verdana" w:hAnsi="Verdana"/>
        </w:rPr>
      </w:pPr>
    </w:p>
    <w:p w:rsidR="007F6F7E" w:rsidRDefault="007F6F7E" w:rsidP="00110BCE">
      <w:pPr>
        <w:spacing w:line="360" w:lineRule="auto"/>
        <w:jc w:val="both"/>
        <w:rPr>
          <w:rFonts w:ascii="Verdana" w:hAnsi="Verdana"/>
        </w:rPr>
      </w:pPr>
    </w:p>
    <w:p w:rsidR="00182D2B" w:rsidRDefault="00182D2B" w:rsidP="00110BCE">
      <w:pPr>
        <w:spacing w:line="360" w:lineRule="auto"/>
        <w:jc w:val="both"/>
        <w:rPr>
          <w:rFonts w:ascii="Verdana" w:hAnsi="Verdana"/>
        </w:rPr>
      </w:pPr>
      <w:r w:rsidRPr="00F05FD6">
        <w:rPr>
          <w:rFonts w:ascii="Verdana" w:hAnsi="Verdana"/>
        </w:rPr>
        <w:t xml:space="preserve">Las fuertes subidas en el precio de la electricidad unidas al aumento de los precios de los alquileres han provocado que el gasto medio por hogar en vivienda, agua y electricidad aumente </w:t>
      </w:r>
      <w:r w:rsidR="00F47103">
        <w:rPr>
          <w:rFonts w:ascii="Verdana" w:hAnsi="Verdana"/>
        </w:rPr>
        <w:t>su</w:t>
      </w:r>
      <w:r w:rsidRPr="00F05FD6">
        <w:rPr>
          <w:rFonts w:ascii="Verdana" w:hAnsi="Verdana"/>
        </w:rPr>
        <w:t xml:space="preserve"> peso sobre el gasto total pasando de representar el 28,2% del gasto total en 2010 al 35,9%.</w:t>
      </w:r>
    </w:p>
    <w:p w:rsidR="007F6F7E" w:rsidRDefault="00110BCE" w:rsidP="00182D2B">
      <w:pPr>
        <w:spacing w:line="360" w:lineRule="auto"/>
        <w:jc w:val="both"/>
        <w:rPr>
          <w:rFonts w:ascii="Verdana" w:hAnsi="Verdana"/>
        </w:rPr>
      </w:pPr>
      <w:r w:rsidRPr="00F05FD6">
        <w:rPr>
          <w:rFonts w:ascii="Verdana" w:hAnsi="Verdana"/>
        </w:rPr>
        <w:t xml:space="preserve">Los datos ponen de manifiesto cómo la </w:t>
      </w:r>
      <w:r w:rsidRPr="00F05FD6">
        <w:rPr>
          <w:rFonts w:ascii="Verdana" w:hAnsi="Verdana"/>
          <w:b/>
          <w:color w:val="7030A0"/>
        </w:rPr>
        <w:t xml:space="preserve">renta media por hogar </w:t>
      </w:r>
      <w:r w:rsidRPr="00F05FD6">
        <w:rPr>
          <w:rFonts w:ascii="Verdana" w:hAnsi="Verdana"/>
        </w:rPr>
        <w:t xml:space="preserve">es </w:t>
      </w:r>
      <w:r w:rsidRPr="00F05FD6">
        <w:rPr>
          <w:rFonts w:ascii="Verdana" w:hAnsi="Verdana"/>
          <w:b/>
          <w:color w:val="7030A0"/>
        </w:rPr>
        <w:t>insuficiente para cubrir los gastos</w:t>
      </w:r>
      <w:r w:rsidRPr="00F05FD6">
        <w:rPr>
          <w:rFonts w:ascii="Verdana" w:hAnsi="Verdana"/>
        </w:rPr>
        <w:t xml:space="preserve"> que tienen que hacer frente los hogares.</w:t>
      </w:r>
      <w:r w:rsidR="00182D2B">
        <w:rPr>
          <w:rFonts w:ascii="Verdana" w:hAnsi="Verdana"/>
        </w:rPr>
        <w:t xml:space="preserve"> </w:t>
      </w:r>
      <w:r w:rsidR="007F6F7E">
        <w:rPr>
          <w:rFonts w:ascii="Verdana" w:hAnsi="Verdana"/>
        </w:rPr>
        <w:t>En el año 2019:</w:t>
      </w:r>
    </w:p>
    <w:p w:rsidR="007F6F7E" w:rsidRDefault="007F6F7E" w:rsidP="007F6F7E">
      <w:pPr>
        <w:pStyle w:val="Prrafodelista"/>
        <w:numPr>
          <w:ilvl w:val="0"/>
          <w:numId w:val="4"/>
        </w:numPr>
        <w:spacing w:line="360" w:lineRule="auto"/>
        <w:jc w:val="both"/>
        <w:rPr>
          <w:rFonts w:ascii="Verdana" w:hAnsi="Verdana"/>
        </w:rPr>
      </w:pPr>
      <w:r>
        <w:rPr>
          <w:rFonts w:ascii="Verdana" w:hAnsi="Verdana"/>
        </w:rPr>
        <w:t>Gasto medio por hogar: 27.367€ (no recoge el pago de una hipoteca)</w:t>
      </w:r>
    </w:p>
    <w:p w:rsidR="007F6F7E" w:rsidRPr="007F6F7E" w:rsidRDefault="007F6F7E" w:rsidP="00182D2B">
      <w:pPr>
        <w:pStyle w:val="Prrafodelista"/>
        <w:numPr>
          <w:ilvl w:val="0"/>
          <w:numId w:val="4"/>
        </w:numPr>
        <w:spacing w:line="360" w:lineRule="auto"/>
        <w:jc w:val="both"/>
        <w:rPr>
          <w:rFonts w:ascii="Verdana" w:hAnsi="Verdana"/>
        </w:rPr>
      </w:pPr>
      <w:r>
        <w:rPr>
          <w:rFonts w:ascii="Verdana" w:hAnsi="Verdana"/>
        </w:rPr>
        <w:t>Renta neta medio por hogar: 28.284€</w:t>
      </w:r>
    </w:p>
    <w:p w:rsidR="007F6F7E" w:rsidRDefault="007F6F7E" w:rsidP="00182D2B">
      <w:pPr>
        <w:spacing w:line="360" w:lineRule="auto"/>
        <w:jc w:val="both"/>
        <w:rPr>
          <w:rFonts w:ascii="Verdana" w:hAnsi="Verdana"/>
        </w:rPr>
      </w:pPr>
    </w:p>
    <w:p w:rsidR="007F6F7E" w:rsidRDefault="007F6F7E" w:rsidP="00182D2B">
      <w:pPr>
        <w:spacing w:line="360" w:lineRule="auto"/>
        <w:jc w:val="both"/>
        <w:rPr>
          <w:rFonts w:ascii="Verdana" w:hAnsi="Verdana"/>
        </w:rPr>
      </w:pPr>
    </w:p>
    <w:p w:rsidR="00182D2B" w:rsidRPr="00F05FD6" w:rsidRDefault="00182D2B" w:rsidP="00182D2B">
      <w:pPr>
        <w:spacing w:line="360" w:lineRule="auto"/>
        <w:jc w:val="both"/>
        <w:rPr>
          <w:rFonts w:ascii="Verdana" w:hAnsi="Verdana"/>
        </w:rPr>
      </w:pPr>
      <w:r>
        <w:rPr>
          <w:rFonts w:ascii="Verdana" w:hAnsi="Verdana"/>
        </w:rPr>
        <w:t xml:space="preserve">Ello provoca una reducción en su capacidad de ahorro y que muchos se vean </w:t>
      </w:r>
      <w:r w:rsidRPr="007F6F7E">
        <w:rPr>
          <w:rFonts w:ascii="Verdana" w:hAnsi="Verdana"/>
          <w:b/>
          <w:color w:val="7030A0"/>
        </w:rPr>
        <w:t>abocados a recurrir al endeudamiento</w:t>
      </w:r>
      <w:r>
        <w:rPr>
          <w:rFonts w:ascii="Verdana" w:hAnsi="Verdana"/>
        </w:rPr>
        <w:t xml:space="preserve"> </w:t>
      </w:r>
      <w:r w:rsidRPr="00F05FD6">
        <w:rPr>
          <w:rFonts w:ascii="Verdana" w:hAnsi="Verdana"/>
        </w:rPr>
        <w:t>(</w:t>
      </w:r>
      <w:r w:rsidR="00E63CDF">
        <w:rPr>
          <w:rFonts w:ascii="Verdana" w:hAnsi="Verdana"/>
        </w:rPr>
        <w:t>28,5</w:t>
      </w:r>
      <w:r w:rsidRPr="00F05FD6">
        <w:rPr>
          <w:rFonts w:ascii="Verdana" w:hAnsi="Verdana"/>
        </w:rPr>
        <w:t xml:space="preserve">% de los hogares </w:t>
      </w:r>
      <w:r w:rsidR="00F47103">
        <w:rPr>
          <w:rFonts w:ascii="Verdana" w:hAnsi="Verdana"/>
        </w:rPr>
        <w:t xml:space="preserve">asturianos </w:t>
      </w:r>
      <w:r w:rsidRPr="00F05FD6">
        <w:rPr>
          <w:rFonts w:ascii="Verdana" w:hAnsi="Verdana"/>
        </w:rPr>
        <w:t xml:space="preserve">no puede hacer frente a gastos imprevistos). </w:t>
      </w:r>
      <w:r>
        <w:rPr>
          <w:rFonts w:ascii="Verdana" w:hAnsi="Verdana"/>
        </w:rPr>
        <w:t>Esta</w:t>
      </w:r>
      <w:r w:rsidRPr="00F05FD6">
        <w:rPr>
          <w:rFonts w:ascii="Verdana" w:hAnsi="Verdana"/>
        </w:rPr>
        <w:t xml:space="preserve"> situación empeorará a lo largo del presente año debido a la </w:t>
      </w:r>
      <w:r w:rsidRPr="007F6F7E">
        <w:rPr>
          <w:rFonts w:ascii="Verdana" w:hAnsi="Verdana"/>
          <w:b/>
          <w:color w:val="7030A0"/>
        </w:rPr>
        <w:t>abusiva escalada en los precios de la electricidad</w:t>
      </w:r>
      <w:r w:rsidRPr="00F05FD6">
        <w:rPr>
          <w:rFonts w:ascii="Verdana" w:hAnsi="Verdana"/>
        </w:rPr>
        <w:t xml:space="preserve"> a partir del mes de junio, que se sitúan en máximos históricos, con lo que la electricidad, un bien básico, se ha convertido en un bien de lujo para los hogares.</w:t>
      </w:r>
    </w:p>
    <w:p w:rsidR="00110BCE" w:rsidRPr="00F05FD6" w:rsidRDefault="00110BCE" w:rsidP="00110BCE">
      <w:pPr>
        <w:spacing w:line="360" w:lineRule="auto"/>
        <w:jc w:val="both"/>
        <w:rPr>
          <w:rFonts w:ascii="Verdana" w:hAnsi="Verdana"/>
        </w:rPr>
      </w:pPr>
    </w:p>
    <w:p w:rsidR="00110BCE" w:rsidRPr="00F05FD6" w:rsidRDefault="00110BCE" w:rsidP="00110BCE">
      <w:pPr>
        <w:spacing w:line="360" w:lineRule="auto"/>
        <w:jc w:val="both"/>
        <w:rPr>
          <w:rFonts w:ascii="Verdana" w:hAnsi="Verdana"/>
        </w:rPr>
      </w:pPr>
    </w:p>
    <w:p w:rsidR="00110BCE" w:rsidRPr="00F05FD6" w:rsidRDefault="00110BCE" w:rsidP="00F47103">
      <w:pPr>
        <w:spacing w:line="360" w:lineRule="auto"/>
        <w:jc w:val="center"/>
        <w:rPr>
          <w:rFonts w:ascii="Verdana" w:hAnsi="Verdana"/>
          <w:b/>
          <w:color w:val="9900FF"/>
        </w:rPr>
      </w:pPr>
      <w:r w:rsidRPr="00F05FD6">
        <w:rPr>
          <w:rFonts w:ascii="Verdana" w:hAnsi="Verdana"/>
          <w:b/>
          <w:color w:val="9900FF"/>
        </w:rPr>
        <w:t>AÑO 2019</w:t>
      </w:r>
    </w:p>
    <w:p w:rsidR="00110BCE" w:rsidRPr="00DA5B4D" w:rsidRDefault="00110BCE" w:rsidP="00110BCE">
      <w:pPr>
        <w:spacing w:line="360" w:lineRule="auto"/>
        <w:jc w:val="both"/>
        <w:rPr>
          <w:rFonts w:ascii="Verdana" w:hAnsi="Verdana"/>
          <w:b/>
          <w:color w:val="7030A0"/>
        </w:rPr>
      </w:pPr>
      <w:r w:rsidRPr="00F05FD6">
        <w:rPr>
          <w:rFonts w:ascii="Verdana" w:hAnsi="Verdana"/>
          <w:b/>
          <w:noProof/>
          <w:color w:val="9900FF"/>
          <w:lang w:eastAsia="es-ES"/>
        </w:rPr>
        <w:drawing>
          <wp:inline distT="0" distB="0" distL="0" distR="0">
            <wp:extent cx="5400040" cy="3150235"/>
            <wp:effectExtent l="0" t="0" r="0" b="0"/>
            <wp:docPr id="17" name="Diagrama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251AC0" w:rsidRPr="007F6F7E" w:rsidRDefault="007F6F7E" w:rsidP="00540AAA">
      <w:pPr>
        <w:spacing w:line="360" w:lineRule="auto"/>
        <w:jc w:val="both"/>
        <w:rPr>
          <w:rFonts w:ascii="Verdana" w:hAnsi="Verdana"/>
          <w:i/>
          <w:sz w:val="18"/>
          <w:szCs w:val="18"/>
        </w:rPr>
      </w:pPr>
      <w:proofErr w:type="spellStart"/>
      <w:r w:rsidRPr="007F6F7E">
        <w:rPr>
          <w:rFonts w:ascii="Verdana" w:hAnsi="Verdana"/>
          <w:i/>
          <w:sz w:val="18"/>
          <w:szCs w:val="18"/>
        </w:rPr>
        <w:t>Fte</w:t>
      </w:r>
      <w:proofErr w:type="spellEnd"/>
      <w:r w:rsidRPr="007F6F7E">
        <w:rPr>
          <w:rFonts w:ascii="Verdana" w:hAnsi="Verdana"/>
          <w:i/>
          <w:sz w:val="18"/>
          <w:szCs w:val="18"/>
        </w:rPr>
        <w:t>: INE, Encuesta de Presupuestos Familiares y Encuesta de Condiciones de Vida</w:t>
      </w:r>
    </w:p>
    <w:p w:rsidR="00251AC0" w:rsidRDefault="00251AC0" w:rsidP="00540AAA">
      <w:pPr>
        <w:spacing w:line="360" w:lineRule="auto"/>
        <w:jc w:val="both"/>
        <w:rPr>
          <w:rFonts w:ascii="Verdana" w:hAnsi="Verdana"/>
        </w:rPr>
      </w:pPr>
    </w:p>
    <w:p w:rsidR="00251AC0" w:rsidRPr="00540AAA" w:rsidRDefault="00251AC0" w:rsidP="00540AAA">
      <w:pPr>
        <w:spacing w:line="360" w:lineRule="auto"/>
        <w:jc w:val="both"/>
        <w:rPr>
          <w:rFonts w:ascii="Verdana" w:hAnsi="Verdana"/>
        </w:rPr>
      </w:pPr>
    </w:p>
    <w:sectPr w:rsidR="00251AC0" w:rsidRPr="00540AAA" w:rsidSect="00CD1223">
      <w:headerReference w:type="default" r:id="rId28"/>
      <w:footerReference w:type="default" r:id="rId2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103" w:rsidRDefault="00F47103" w:rsidP="00F34772">
      <w:pPr>
        <w:spacing w:after="0" w:line="240" w:lineRule="auto"/>
      </w:pPr>
      <w:r>
        <w:separator/>
      </w:r>
    </w:p>
  </w:endnote>
  <w:endnote w:type="continuationSeparator" w:id="1">
    <w:p w:rsidR="00F47103" w:rsidRDefault="00F47103" w:rsidP="00F34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03" w:rsidRDefault="00F47103">
    <w:pPr>
      <w:pStyle w:val="Piedepgina"/>
      <w:pBdr>
        <w:top w:val="thinThickSmallGap" w:sz="24" w:space="1" w:color="622423" w:themeColor="accent2" w:themeShade="7F"/>
      </w:pBdr>
      <w:rPr>
        <w:rFonts w:asciiTheme="majorHAnsi" w:hAnsiTheme="majorHAnsi"/>
      </w:rPr>
    </w:pPr>
    <w:r>
      <w:rPr>
        <w:rFonts w:asciiTheme="majorHAnsi" w:hAnsiTheme="majorHAnsi"/>
      </w:rPr>
      <w:t>26/07/2020</w:t>
    </w:r>
    <w:r>
      <w:rPr>
        <w:rFonts w:asciiTheme="majorHAnsi" w:hAnsiTheme="majorHAnsi"/>
      </w:rPr>
      <w:ptab w:relativeTo="margin" w:alignment="right" w:leader="none"/>
    </w:r>
    <w:r>
      <w:rPr>
        <w:rFonts w:asciiTheme="majorHAnsi" w:hAnsiTheme="majorHAnsi"/>
      </w:rPr>
      <w:t xml:space="preserve">Página </w:t>
    </w:r>
    <w:fldSimple w:instr=" PAGE   \* MERGEFORMAT ">
      <w:r w:rsidR="00237066" w:rsidRPr="00237066">
        <w:rPr>
          <w:rFonts w:asciiTheme="majorHAnsi" w:hAnsiTheme="majorHAnsi"/>
          <w:noProof/>
        </w:rPr>
        <w:t>27</w:t>
      </w:r>
    </w:fldSimple>
  </w:p>
  <w:p w:rsidR="00F47103" w:rsidRDefault="00F4710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103" w:rsidRDefault="00F47103" w:rsidP="00F34772">
      <w:pPr>
        <w:spacing w:after="0" w:line="240" w:lineRule="auto"/>
      </w:pPr>
      <w:r>
        <w:separator/>
      </w:r>
    </w:p>
  </w:footnote>
  <w:footnote w:type="continuationSeparator" w:id="1">
    <w:p w:rsidR="00F47103" w:rsidRDefault="00F47103" w:rsidP="00F34772">
      <w:pPr>
        <w:spacing w:after="0" w:line="240" w:lineRule="auto"/>
      </w:pPr>
      <w:r>
        <w:continuationSeparator/>
      </w:r>
    </w:p>
  </w:footnote>
  <w:footnote w:id="2">
    <w:p w:rsidR="00F47103" w:rsidRPr="007C4BF0" w:rsidRDefault="00F47103">
      <w:pPr>
        <w:pStyle w:val="Textonotapie"/>
        <w:rPr>
          <w:rFonts w:ascii="Verdana" w:hAnsi="Verdana"/>
          <w:i/>
          <w:sz w:val="16"/>
          <w:szCs w:val="16"/>
        </w:rPr>
      </w:pPr>
      <w:r w:rsidRPr="007C4BF0">
        <w:rPr>
          <w:rStyle w:val="Refdenotaalpie"/>
          <w:rFonts w:ascii="Verdana" w:hAnsi="Verdana"/>
          <w:i/>
          <w:sz w:val="16"/>
          <w:szCs w:val="16"/>
        </w:rPr>
        <w:footnoteRef/>
      </w:r>
      <w:r w:rsidRPr="007C4BF0">
        <w:rPr>
          <w:rFonts w:ascii="Verdana" w:hAnsi="Verdana"/>
          <w:i/>
          <w:sz w:val="16"/>
          <w:szCs w:val="16"/>
        </w:rPr>
        <w:t xml:space="preserve"> Último dato disponible en </w:t>
      </w:r>
      <w:proofErr w:type="spellStart"/>
      <w:r w:rsidRPr="007C4BF0">
        <w:rPr>
          <w:rFonts w:ascii="Verdana" w:hAnsi="Verdana"/>
          <w:i/>
          <w:sz w:val="16"/>
          <w:szCs w:val="16"/>
        </w:rPr>
        <w:t>eurostat</w:t>
      </w:r>
      <w:proofErr w:type="spellEnd"/>
      <w:r w:rsidRPr="007C4BF0">
        <w:rPr>
          <w:rFonts w:ascii="Verdana" w:hAnsi="Verdana"/>
          <w:i/>
          <w:sz w:val="16"/>
          <w:szCs w:val="16"/>
        </w:rPr>
        <w:t>. En el resto</w:t>
      </w:r>
      <w:r>
        <w:rPr>
          <w:rFonts w:ascii="Verdana" w:hAnsi="Verdana"/>
          <w:i/>
          <w:sz w:val="16"/>
          <w:szCs w:val="16"/>
        </w:rPr>
        <w:t xml:space="preserve"> del informe se toma el año 2020</w:t>
      </w:r>
      <w:r w:rsidRPr="007C4BF0">
        <w:rPr>
          <w:rFonts w:ascii="Verdana" w:hAnsi="Verdana"/>
          <w:i/>
          <w:sz w:val="16"/>
          <w:szCs w:val="16"/>
        </w:rPr>
        <w:t xml:space="preserve"> publicado por el INE</w:t>
      </w:r>
    </w:p>
  </w:footnote>
  <w:footnote w:id="3">
    <w:p w:rsidR="00F47103" w:rsidRPr="00CF69EF" w:rsidRDefault="00F47103" w:rsidP="00CF69EF">
      <w:pPr>
        <w:pStyle w:val="Textonotapie"/>
        <w:jc w:val="both"/>
        <w:rPr>
          <w:rFonts w:ascii="Verdana" w:hAnsi="Verdana"/>
          <w:i/>
          <w:sz w:val="18"/>
          <w:szCs w:val="18"/>
        </w:rPr>
      </w:pPr>
      <w:r>
        <w:rPr>
          <w:rStyle w:val="Refdenotaalpie"/>
        </w:rPr>
        <w:footnoteRef/>
      </w:r>
      <w:r>
        <w:t xml:space="preserve"> </w:t>
      </w:r>
      <w:r w:rsidRPr="00CF69EF">
        <w:rPr>
          <w:rFonts w:ascii="Verdana" w:hAnsi="Verdana"/>
          <w:i/>
          <w:sz w:val="18"/>
          <w:szCs w:val="18"/>
        </w:rPr>
        <w:t>Ver nota de prensa del INE</w:t>
      </w:r>
    </w:p>
  </w:footnote>
  <w:footnote w:id="4">
    <w:p w:rsidR="00F47103" w:rsidRPr="00CF69EF" w:rsidRDefault="00F47103" w:rsidP="00CF69EF">
      <w:pPr>
        <w:pStyle w:val="Textonotapie"/>
        <w:jc w:val="both"/>
        <w:rPr>
          <w:rFonts w:ascii="Verdana" w:hAnsi="Verdana"/>
          <w:i/>
          <w:sz w:val="18"/>
          <w:szCs w:val="18"/>
        </w:rPr>
      </w:pPr>
      <w:r>
        <w:rPr>
          <w:rStyle w:val="Refdenotaalpie"/>
        </w:rPr>
        <w:footnoteRef/>
      </w:r>
      <w:r>
        <w:t xml:space="preserve"> </w:t>
      </w:r>
      <w:r w:rsidRPr="00CF69EF">
        <w:rPr>
          <w:rFonts w:ascii="Verdana" w:hAnsi="Verdana"/>
          <w:i/>
          <w:sz w:val="18"/>
          <w:szCs w:val="18"/>
        </w:rPr>
        <w:t xml:space="preserve">Siglas en inglés (At </w:t>
      </w:r>
      <w:proofErr w:type="spellStart"/>
      <w:r w:rsidRPr="00CF69EF">
        <w:rPr>
          <w:rFonts w:ascii="Verdana" w:hAnsi="Verdana"/>
          <w:i/>
          <w:sz w:val="18"/>
          <w:szCs w:val="18"/>
        </w:rPr>
        <w:t>Risk</w:t>
      </w:r>
      <w:proofErr w:type="spellEnd"/>
      <w:r w:rsidRPr="00CF69EF">
        <w:rPr>
          <w:rFonts w:ascii="Verdana" w:hAnsi="Verdana"/>
          <w:i/>
          <w:sz w:val="18"/>
          <w:szCs w:val="18"/>
        </w:rPr>
        <w:t xml:space="preserve"> of </w:t>
      </w:r>
      <w:proofErr w:type="spellStart"/>
      <w:r w:rsidRPr="00CF69EF">
        <w:rPr>
          <w:rFonts w:ascii="Verdana" w:hAnsi="Verdana"/>
          <w:i/>
          <w:sz w:val="18"/>
          <w:szCs w:val="18"/>
        </w:rPr>
        <w:t>Poverty</w:t>
      </w:r>
      <w:proofErr w:type="spellEnd"/>
      <w:r w:rsidRPr="00CF69EF">
        <w:rPr>
          <w:rFonts w:ascii="Verdana" w:hAnsi="Verdana"/>
          <w:i/>
          <w:sz w:val="18"/>
          <w:szCs w:val="18"/>
        </w:rPr>
        <w:t xml:space="preserve"> </w:t>
      </w:r>
      <w:proofErr w:type="spellStart"/>
      <w:r w:rsidRPr="00CF69EF">
        <w:rPr>
          <w:rFonts w:ascii="Verdana" w:hAnsi="Verdana"/>
          <w:i/>
          <w:sz w:val="18"/>
          <w:szCs w:val="18"/>
        </w:rPr>
        <w:t>or</w:t>
      </w:r>
      <w:proofErr w:type="spellEnd"/>
      <w:r w:rsidRPr="00CF69EF">
        <w:rPr>
          <w:rFonts w:ascii="Verdana" w:hAnsi="Verdana"/>
          <w:i/>
          <w:sz w:val="18"/>
          <w:szCs w:val="18"/>
        </w:rPr>
        <w:t xml:space="preserve"> Social </w:t>
      </w:r>
      <w:proofErr w:type="spellStart"/>
      <w:r w:rsidRPr="00CF69EF">
        <w:rPr>
          <w:rFonts w:ascii="Verdana" w:hAnsi="Verdana"/>
          <w:i/>
          <w:sz w:val="18"/>
          <w:szCs w:val="18"/>
        </w:rPr>
        <w:t>Exclusion</w:t>
      </w:r>
      <w:proofErr w:type="spellEnd"/>
      <w:r w:rsidRPr="00CF69EF">
        <w:rPr>
          <w:rFonts w:ascii="Verdana" w:hAnsi="Verdana"/>
          <w:i/>
          <w:sz w:val="18"/>
          <w:szCs w:val="18"/>
        </w:rPr>
        <w:t>) y mide la pobreza relativa en Europa ampliando la tasa de riesgo de pobreza, que sólo contempla los ingresos</w:t>
      </w:r>
    </w:p>
  </w:footnote>
  <w:footnote w:id="5">
    <w:p w:rsidR="00F47103" w:rsidRPr="00665122" w:rsidRDefault="00F47103" w:rsidP="00B913C7">
      <w:pPr>
        <w:pStyle w:val="Textonotapie"/>
        <w:rPr>
          <w:rFonts w:ascii="Verdana" w:hAnsi="Verdana"/>
          <w:i/>
          <w:sz w:val="16"/>
          <w:szCs w:val="16"/>
        </w:rPr>
      </w:pPr>
      <w:r w:rsidRPr="00665122">
        <w:rPr>
          <w:rStyle w:val="Refdenotaalpie"/>
          <w:rFonts w:ascii="Verdana" w:hAnsi="Verdana"/>
          <w:i/>
          <w:sz w:val="16"/>
          <w:szCs w:val="16"/>
        </w:rPr>
        <w:footnoteRef/>
      </w:r>
      <w:r w:rsidRPr="00665122">
        <w:rPr>
          <w:rFonts w:ascii="Verdana" w:hAnsi="Verdana"/>
          <w:i/>
          <w:sz w:val="16"/>
          <w:szCs w:val="16"/>
        </w:rPr>
        <w:t xml:space="preserve"> Año anterior a la entrevista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03" w:rsidRDefault="00F47103">
    <w:pPr>
      <w:pStyle w:val="Encabezado"/>
    </w:pPr>
    <w:r>
      <w:rPr>
        <w:rFonts w:ascii="Helvetica" w:hAnsi="Helvetica"/>
        <w:b/>
        <w:sz w:val="16"/>
        <w:szCs w:val="16"/>
      </w:rPr>
      <w:tab/>
    </w:r>
    <w:r>
      <w:rPr>
        <w:rFonts w:ascii="Helvetica" w:hAnsi="Helvetica"/>
        <w:b/>
        <w:sz w:val="16"/>
        <w:szCs w:val="16"/>
      </w:rPr>
      <w:tab/>
    </w:r>
    <w:r>
      <w:rPr>
        <w:rFonts w:ascii="Helvetica-Narrow" w:hAnsi="Helvetica-Narrow"/>
        <w:noProof/>
        <w:sz w:val="18"/>
        <w:szCs w:val="18"/>
        <w:lang w:eastAsia="es-ES"/>
      </w:rPr>
      <w:drawing>
        <wp:inline distT="0" distB="0" distL="0" distR="0">
          <wp:extent cx="762000" cy="371475"/>
          <wp:effectExtent l="0" t="0" r="0" b="0"/>
          <wp:docPr id="19" name="3 Imagen" descr="LOGO NUE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NUEVO.png"/>
                  <pic:cNvPicPr>
                    <a:picLocks noChangeAspect="1" noChangeArrowheads="1"/>
                  </pic:cNvPicPr>
                </pic:nvPicPr>
                <pic:blipFill>
                  <a:blip r:embed="rId1"/>
                  <a:srcRect/>
                  <a:stretch>
                    <a:fillRect/>
                  </a:stretch>
                </pic:blipFill>
                <pic:spPr bwMode="auto">
                  <a:xfrm>
                    <a:off x="0" y="0"/>
                    <a:ext cx="762000" cy="371475"/>
                  </a:xfrm>
                  <a:prstGeom prst="rect">
                    <a:avLst/>
                  </a:prstGeom>
                  <a:noFill/>
                  <a:ln w="9525">
                    <a:noFill/>
                    <a:miter lim="800000"/>
                    <a:headEnd/>
                    <a:tailEnd/>
                  </a:ln>
                </pic:spPr>
              </pic:pic>
            </a:graphicData>
          </a:graphic>
        </wp:inline>
      </w:drawing>
    </w:r>
    <w:r>
      <w:rPr>
        <w:rFonts w:ascii="Helvetica" w:hAnsi="Helvetica"/>
        <w:b/>
        <w:sz w:val="16"/>
        <w:szCs w:val="16"/>
      </w:rPr>
      <w:t xml:space="preserve">     </w:t>
    </w:r>
    <w:r w:rsidRPr="00C66246">
      <w:rPr>
        <w:rFonts w:ascii="Helvetica" w:hAnsi="Helvetica"/>
        <w:b/>
        <w:color w:val="808080"/>
        <w:sz w:val="16"/>
        <w:szCs w:val="16"/>
      </w:rPr>
      <w:t xml:space="preserve">Secretaría de </w:t>
    </w:r>
    <w:r>
      <w:rPr>
        <w:rFonts w:ascii="Helvetica" w:hAnsi="Helvetica"/>
        <w:b/>
        <w:color w:val="808080"/>
        <w:sz w:val="16"/>
        <w:szCs w:val="16"/>
      </w:rPr>
      <w:t>Política</w:t>
    </w:r>
    <w:r w:rsidRPr="00C66246">
      <w:rPr>
        <w:rFonts w:ascii="Helvetica" w:hAnsi="Helvetica"/>
        <w:b/>
        <w:color w:val="808080"/>
        <w:sz w:val="16"/>
        <w:szCs w:val="16"/>
      </w:rPr>
      <w:t xml:space="preserve"> Sindical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11.25pt;height:11.25pt" o:bullet="t">
        <v:imagedata r:id="rId1" o:title="mso8633"/>
      </v:shape>
    </w:pict>
  </w:numPicBullet>
  <w:numPicBullet w:numPicBulletId="1">
    <w:pict>
      <v:shape id="_x0000_i1099" type="#_x0000_t75" style="width:11.25pt;height:11.25pt" o:bullet="t">
        <v:imagedata r:id="rId2" o:title="mso213A"/>
      </v:shape>
    </w:pict>
  </w:numPicBullet>
  <w:abstractNum w:abstractNumId="0">
    <w:nsid w:val="069B2699"/>
    <w:multiLevelType w:val="hybridMultilevel"/>
    <w:tmpl w:val="ECDA052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74D4F15"/>
    <w:multiLevelType w:val="hybridMultilevel"/>
    <w:tmpl w:val="3A4CC73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7E1673A"/>
    <w:multiLevelType w:val="hybridMultilevel"/>
    <w:tmpl w:val="E200CD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A08769A"/>
    <w:multiLevelType w:val="hybridMultilevel"/>
    <w:tmpl w:val="810C490E"/>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A7452F"/>
    <w:multiLevelType w:val="hybridMultilevel"/>
    <w:tmpl w:val="0A56052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C734260"/>
    <w:multiLevelType w:val="hybridMultilevel"/>
    <w:tmpl w:val="F8382CB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E90565D"/>
    <w:multiLevelType w:val="hybridMultilevel"/>
    <w:tmpl w:val="11FC5BF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0CE563E"/>
    <w:multiLevelType w:val="hybridMultilevel"/>
    <w:tmpl w:val="B89CC418"/>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E41972"/>
    <w:multiLevelType w:val="hybridMultilevel"/>
    <w:tmpl w:val="D4ECF528"/>
    <w:lvl w:ilvl="0" w:tplc="83A24188">
      <w:start w:val="1"/>
      <w:numFmt w:val="bullet"/>
      <w:lvlText w:val=""/>
      <w:lvlJc w:val="left"/>
      <w:pPr>
        <w:ind w:left="720" w:hanging="360"/>
      </w:pPr>
      <w:rPr>
        <w:rFonts w:ascii="Symbol" w:hAnsi="Symbol"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7AF58B3"/>
    <w:multiLevelType w:val="hybridMultilevel"/>
    <w:tmpl w:val="8F20584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3E2B9B"/>
    <w:multiLevelType w:val="hybridMultilevel"/>
    <w:tmpl w:val="D77A0FFE"/>
    <w:lvl w:ilvl="0" w:tplc="6DC80764">
      <w:start w:val="1"/>
      <w:numFmt w:val="bullet"/>
      <w:lvlText w:val=""/>
      <w:lvlJc w:val="left"/>
      <w:pPr>
        <w:ind w:left="720" w:hanging="360"/>
      </w:pPr>
      <w:rPr>
        <w:rFonts w:ascii="Wingdings" w:hAnsi="Wingdings"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BE45C2"/>
    <w:multiLevelType w:val="hybridMultilevel"/>
    <w:tmpl w:val="B7B6740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63F51A5"/>
    <w:multiLevelType w:val="hybridMultilevel"/>
    <w:tmpl w:val="02D63D4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46C54961"/>
    <w:multiLevelType w:val="hybridMultilevel"/>
    <w:tmpl w:val="196C8DB8"/>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745599F"/>
    <w:multiLevelType w:val="hybridMultilevel"/>
    <w:tmpl w:val="EDAECA32"/>
    <w:lvl w:ilvl="0" w:tplc="0C0A0007">
      <w:start w:val="1"/>
      <w:numFmt w:val="bullet"/>
      <w:lvlText w:val=""/>
      <w:lvlPicBulletId w:val="1"/>
      <w:lvlJc w:val="left"/>
      <w:pPr>
        <w:ind w:left="833" w:hanging="360"/>
      </w:pPr>
      <w:rPr>
        <w:rFonts w:ascii="Symbol" w:hAnsi="Symbol" w:hint="default"/>
      </w:rPr>
    </w:lvl>
    <w:lvl w:ilvl="1" w:tplc="0C0A0003" w:tentative="1">
      <w:start w:val="1"/>
      <w:numFmt w:val="bullet"/>
      <w:lvlText w:val="o"/>
      <w:lvlJc w:val="left"/>
      <w:pPr>
        <w:ind w:left="1553" w:hanging="360"/>
      </w:pPr>
      <w:rPr>
        <w:rFonts w:ascii="Courier New" w:hAnsi="Courier New" w:cs="Courier New" w:hint="default"/>
      </w:rPr>
    </w:lvl>
    <w:lvl w:ilvl="2" w:tplc="0C0A0005" w:tentative="1">
      <w:start w:val="1"/>
      <w:numFmt w:val="bullet"/>
      <w:lvlText w:val=""/>
      <w:lvlJc w:val="left"/>
      <w:pPr>
        <w:ind w:left="2273" w:hanging="360"/>
      </w:pPr>
      <w:rPr>
        <w:rFonts w:ascii="Wingdings" w:hAnsi="Wingdings" w:hint="default"/>
      </w:rPr>
    </w:lvl>
    <w:lvl w:ilvl="3" w:tplc="0C0A0001" w:tentative="1">
      <w:start w:val="1"/>
      <w:numFmt w:val="bullet"/>
      <w:lvlText w:val=""/>
      <w:lvlJc w:val="left"/>
      <w:pPr>
        <w:ind w:left="2993" w:hanging="360"/>
      </w:pPr>
      <w:rPr>
        <w:rFonts w:ascii="Symbol" w:hAnsi="Symbol" w:hint="default"/>
      </w:rPr>
    </w:lvl>
    <w:lvl w:ilvl="4" w:tplc="0C0A0003" w:tentative="1">
      <w:start w:val="1"/>
      <w:numFmt w:val="bullet"/>
      <w:lvlText w:val="o"/>
      <w:lvlJc w:val="left"/>
      <w:pPr>
        <w:ind w:left="3713" w:hanging="360"/>
      </w:pPr>
      <w:rPr>
        <w:rFonts w:ascii="Courier New" w:hAnsi="Courier New" w:cs="Courier New" w:hint="default"/>
      </w:rPr>
    </w:lvl>
    <w:lvl w:ilvl="5" w:tplc="0C0A0005" w:tentative="1">
      <w:start w:val="1"/>
      <w:numFmt w:val="bullet"/>
      <w:lvlText w:val=""/>
      <w:lvlJc w:val="left"/>
      <w:pPr>
        <w:ind w:left="4433" w:hanging="360"/>
      </w:pPr>
      <w:rPr>
        <w:rFonts w:ascii="Wingdings" w:hAnsi="Wingdings" w:hint="default"/>
      </w:rPr>
    </w:lvl>
    <w:lvl w:ilvl="6" w:tplc="0C0A0001" w:tentative="1">
      <w:start w:val="1"/>
      <w:numFmt w:val="bullet"/>
      <w:lvlText w:val=""/>
      <w:lvlJc w:val="left"/>
      <w:pPr>
        <w:ind w:left="5153" w:hanging="360"/>
      </w:pPr>
      <w:rPr>
        <w:rFonts w:ascii="Symbol" w:hAnsi="Symbol" w:hint="default"/>
      </w:rPr>
    </w:lvl>
    <w:lvl w:ilvl="7" w:tplc="0C0A0003" w:tentative="1">
      <w:start w:val="1"/>
      <w:numFmt w:val="bullet"/>
      <w:lvlText w:val="o"/>
      <w:lvlJc w:val="left"/>
      <w:pPr>
        <w:ind w:left="5873" w:hanging="360"/>
      </w:pPr>
      <w:rPr>
        <w:rFonts w:ascii="Courier New" w:hAnsi="Courier New" w:cs="Courier New" w:hint="default"/>
      </w:rPr>
    </w:lvl>
    <w:lvl w:ilvl="8" w:tplc="0C0A0005" w:tentative="1">
      <w:start w:val="1"/>
      <w:numFmt w:val="bullet"/>
      <w:lvlText w:val=""/>
      <w:lvlJc w:val="left"/>
      <w:pPr>
        <w:ind w:left="6593" w:hanging="360"/>
      </w:pPr>
      <w:rPr>
        <w:rFonts w:ascii="Wingdings" w:hAnsi="Wingdings" w:hint="default"/>
      </w:rPr>
    </w:lvl>
  </w:abstractNum>
  <w:abstractNum w:abstractNumId="15">
    <w:nsid w:val="53FD5B70"/>
    <w:multiLevelType w:val="hybridMultilevel"/>
    <w:tmpl w:val="EEACFCCA"/>
    <w:lvl w:ilvl="0" w:tplc="6DC80764">
      <w:start w:val="1"/>
      <w:numFmt w:val="bullet"/>
      <w:lvlText w:val=""/>
      <w:lvlJc w:val="left"/>
      <w:pPr>
        <w:ind w:left="720" w:hanging="360"/>
      </w:pPr>
      <w:rPr>
        <w:rFonts w:ascii="Wingdings" w:hAnsi="Wingdings" w:hint="default"/>
        <w:color w:val="7030A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D5966EB"/>
    <w:multiLevelType w:val="hybridMultilevel"/>
    <w:tmpl w:val="37F8A5A6"/>
    <w:lvl w:ilvl="0" w:tplc="0C0A0007">
      <w:start w:val="1"/>
      <w:numFmt w:val="bullet"/>
      <w:lvlText w:val=""/>
      <w:lvlPicBulletId w:val="0"/>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6B8C37F1"/>
    <w:multiLevelType w:val="hybridMultilevel"/>
    <w:tmpl w:val="958A5AE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52B48F3"/>
    <w:multiLevelType w:val="hybridMultilevel"/>
    <w:tmpl w:val="C54ECC9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7460E3D"/>
    <w:multiLevelType w:val="hybridMultilevel"/>
    <w:tmpl w:val="C1C07BF8"/>
    <w:lvl w:ilvl="0" w:tplc="0C0A0007">
      <w:start w:val="1"/>
      <w:numFmt w:val="bullet"/>
      <w:lvlText w:val=""/>
      <w:lvlPicBulletId w:val="1"/>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E9457E7"/>
    <w:multiLevelType w:val="hybridMultilevel"/>
    <w:tmpl w:val="1B3C55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13"/>
  </w:num>
  <w:num w:numId="4">
    <w:abstractNumId w:val="5"/>
  </w:num>
  <w:num w:numId="5">
    <w:abstractNumId w:val="9"/>
  </w:num>
  <w:num w:numId="6">
    <w:abstractNumId w:val="15"/>
  </w:num>
  <w:num w:numId="7">
    <w:abstractNumId w:val="10"/>
  </w:num>
  <w:num w:numId="8">
    <w:abstractNumId w:val="16"/>
  </w:num>
  <w:num w:numId="9">
    <w:abstractNumId w:val="2"/>
  </w:num>
  <w:num w:numId="10">
    <w:abstractNumId w:val="6"/>
  </w:num>
  <w:num w:numId="11">
    <w:abstractNumId w:val="7"/>
  </w:num>
  <w:num w:numId="12">
    <w:abstractNumId w:val="19"/>
  </w:num>
  <w:num w:numId="13">
    <w:abstractNumId w:val="17"/>
  </w:num>
  <w:num w:numId="14">
    <w:abstractNumId w:val="18"/>
  </w:num>
  <w:num w:numId="15">
    <w:abstractNumId w:val="14"/>
  </w:num>
  <w:num w:numId="16">
    <w:abstractNumId w:val="3"/>
  </w:num>
  <w:num w:numId="17">
    <w:abstractNumId w:val="20"/>
  </w:num>
  <w:num w:numId="18">
    <w:abstractNumId w:val="4"/>
  </w:num>
  <w:num w:numId="19">
    <w:abstractNumId w:val="11"/>
  </w:num>
  <w:num w:numId="20">
    <w:abstractNumId w:val="1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4F6B7E"/>
    <w:rsid w:val="00017ABD"/>
    <w:rsid w:val="0002338C"/>
    <w:rsid w:val="00025EDF"/>
    <w:rsid w:val="00026539"/>
    <w:rsid w:val="00027A37"/>
    <w:rsid w:val="00036710"/>
    <w:rsid w:val="00047008"/>
    <w:rsid w:val="0005146C"/>
    <w:rsid w:val="000529A2"/>
    <w:rsid w:val="00055374"/>
    <w:rsid w:val="0006572D"/>
    <w:rsid w:val="00065D23"/>
    <w:rsid w:val="000673B3"/>
    <w:rsid w:val="00067A8D"/>
    <w:rsid w:val="000778C1"/>
    <w:rsid w:val="00093689"/>
    <w:rsid w:val="000A01EC"/>
    <w:rsid w:val="000A02B7"/>
    <w:rsid w:val="000A2CC9"/>
    <w:rsid w:val="000A7C28"/>
    <w:rsid w:val="000B186C"/>
    <w:rsid w:val="000B6643"/>
    <w:rsid w:val="000C0052"/>
    <w:rsid w:val="000C6157"/>
    <w:rsid w:val="000D21B2"/>
    <w:rsid w:val="000D38D3"/>
    <w:rsid w:val="000D4F65"/>
    <w:rsid w:val="000D4F92"/>
    <w:rsid w:val="000D536B"/>
    <w:rsid w:val="000E4176"/>
    <w:rsid w:val="000E5B02"/>
    <w:rsid w:val="000E5D87"/>
    <w:rsid w:val="000E6C19"/>
    <w:rsid w:val="000E7217"/>
    <w:rsid w:val="00100A3D"/>
    <w:rsid w:val="00104431"/>
    <w:rsid w:val="0010491F"/>
    <w:rsid w:val="001060E7"/>
    <w:rsid w:val="00106CF9"/>
    <w:rsid w:val="00106F55"/>
    <w:rsid w:val="00107019"/>
    <w:rsid w:val="00110BCE"/>
    <w:rsid w:val="001177F3"/>
    <w:rsid w:val="00117EDC"/>
    <w:rsid w:val="0012177F"/>
    <w:rsid w:val="00126F41"/>
    <w:rsid w:val="001301A4"/>
    <w:rsid w:val="001305E4"/>
    <w:rsid w:val="00146799"/>
    <w:rsid w:val="00151EE5"/>
    <w:rsid w:val="00154C63"/>
    <w:rsid w:val="00156E73"/>
    <w:rsid w:val="001649C8"/>
    <w:rsid w:val="00165117"/>
    <w:rsid w:val="00165AE0"/>
    <w:rsid w:val="001668FA"/>
    <w:rsid w:val="00173E50"/>
    <w:rsid w:val="00181FA0"/>
    <w:rsid w:val="00182D2B"/>
    <w:rsid w:val="00184D48"/>
    <w:rsid w:val="001860C2"/>
    <w:rsid w:val="00190B4D"/>
    <w:rsid w:val="00190D51"/>
    <w:rsid w:val="0019209A"/>
    <w:rsid w:val="001A240E"/>
    <w:rsid w:val="001A7DF2"/>
    <w:rsid w:val="001C39DA"/>
    <w:rsid w:val="001C4535"/>
    <w:rsid w:val="001C4959"/>
    <w:rsid w:val="001C7A09"/>
    <w:rsid w:val="001D0126"/>
    <w:rsid w:val="001D1435"/>
    <w:rsid w:val="001D71B6"/>
    <w:rsid w:val="001E2A4E"/>
    <w:rsid w:val="001E30C5"/>
    <w:rsid w:val="001E484C"/>
    <w:rsid w:val="001E5C3F"/>
    <w:rsid w:val="001E64A7"/>
    <w:rsid w:val="001E6AD7"/>
    <w:rsid w:val="001F0498"/>
    <w:rsid w:val="001F79E4"/>
    <w:rsid w:val="001F7C09"/>
    <w:rsid w:val="002102CA"/>
    <w:rsid w:val="002103C4"/>
    <w:rsid w:val="002138F8"/>
    <w:rsid w:val="002152E2"/>
    <w:rsid w:val="002202D8"/>
    <w:rsid w:val="00221AC1"/>
    <w:rsid w:val="00224E0B"/>
    <w:rsid w:val="0022526C"/>
    <w:rsid w:val="0023179B"/>
    <w:rsid w:val="00237066"/>
    <w:rsid w:val="00237975"/>
    <w:rsid w:val="00241B7C"/>
    <w:rsid w:val="00243E8E"/>
    <w:rsid w:val="00250816"/>
    <w:rsid w:val="00251AC0"/>
    <w:rsid w:val="00260A4A"/>
    <w:rsid w:val="00264E4E"/>
    <w:rsid w:val="0027160C"/>
    <w:rsid w:val="002729EF"/>
    <w:rsid w:val="00273B9E"/>
    <w:rsid w:val="00273E30"/>
    <w:rsid w:val="00275545"/>
    <w:rsid w:val="00275F4B"/>
    <w:rsid w:val="00277F16"/>
    <w:rsid w:val="00284651"/>
    <w:rsid w:val="00286F9F"/>
    <w:rsid w:val="0028742E"/>
    <w:rsid w:val="002924E9"/>
    <w:rsid w:val="002A17A2"/>
    <w:rsid w:val="002A262D"/>
    <w:rsid w:val="002A2BBB"/>
    <w:rsid w:val="002B3E6E"/>
    <w:rsid w:val="002B64FA"/>
    <w:rsid w:val="002C2469"/>
    <w:rsid w:val="002C77EA"/>
    <w:rsid w:val="002E0D13"/>
    <w:rsid w:val="002E2C8B"/>
    <w:rsid w:val="002E504F"/>
    <w:rsid w:val="002E6543"/>
    <w:rsid w:val="002F10CE"/>
    <w:rsid w:val="002F34F8"/>
    <w:rsid w:val="00312EAD"/>
    <w:rsid w:val="00322581"/>
    <w:rsid w:val="0032283C"/>
    <w:rsid w:val="00326C7C"/>
    <w:rsid w:val="0033170F"/>
    <w:rsid w:val="0033640D"/>
    <w:rsid w:val="003422DB"/>
    <w:rsid w:val="003451AF"/>
    <w:rsid w:val="00350490"/>
    <w:rsid w:val="00351825"/>
    <w:rsid w:val="00351EFB"/>
    <w:rsid w:val="00353381"/>
    <w:rsid w:val="00355B13"/>
    <w:rsid w:val="00356690"/>
    <w:rsid w:val="00365201"/>
    <w:rsid w:val="003673FC"/>
    <w:rsid w:val="00370BC8"/>
    <w:rsid w:val="00375246"/>
    <w:rsid w:val="00377308"/>
    <w:rsid w:val="003775B1"/>
    <w:rsid w:val="0037769D"/>
    <w:rsid w:val="003778DB"/>
    <w:rsid w:val="003865B1"/>
    <w:rsid w:val="00386734"/>
    <w:rsid w:val="00386AC0"/>
    <w:rsid w:val="00393FB3"/>
    <w:rsid w:val="003A294D"/>
    <w:rsid w:val="003B0BF2"/>
    <w:rsid w:val="003B1ACB"/>
    <w:rsid w:val="003B44F9"/>
    <w:rsid w:val="003B72C9"/>
    <w:rsid w:val="003B75E9"/>
    <w:rsid w:val="003B79FC"/>
    <w:rsid w:val="003C4E32"/>
    <w:rsid w:val="003E18E1"/>
    <w:rsid w:val="003E18EE"/>
    <w:rsid w:val="003E4D5F"/>
    <w:rsid w:val="003E7EEE"/>
    <w:rsid w:val="003F089F"/>
    <w:rsid w:val="003F28F8"/>
    <w:rsid w:val="003F40F4"/>
    <w:rsid w:val="003F722F"/>
    <w:rsid w:val="004017AF"/>
    <w:rsid w:val="00407EF3"/>
    <w:rsid w:val="0042301A"/>
    <w:rsid w:val="004267B2"/>
    <w:rsid w:val="00427476"/>
    <w:rsid w:val="004322A0"/>
    <w:rsid w:val="0043250C"/>
    <w:rsid w:val="00436DCC"/>
    <w:rsid w:val="00437EEB"/>
    <w:rsid w:val="00444FDE"/>
    <w:rsid w:val="00452666"/>
    <w:rsid w:val="00460713"/>
    <w:rsid w:val="00464892"/>
    <w:rsid w:val="0046712D"/>
    <w:rsid w:val="004677B5"/>
    <w:rsid w:val="0047266B"/>
    <w:rsid w:val="0047296E"/>
    <w:rsid w:val="00474113"/>
    <w:rsid w:val="00492784"/>
    <w:rsid w:val="0049738C"/>
    <w:rsid w:val="004A5F34"/>
    <w:rsid w:val="004B6D64"/>
    <w:rsid w:val="004C26C8"/>
    <w:rsid w:val="004C5545"/>
    <w:rsid w:val="004C75D7"/>
    <w:rsid w:val="004C7608"/>
    <w:rsid w:val="004D153D"/>
    <w:rsid w:val="004D17CB"/>
    <w:rsid w:val="004D2A8D"/>
    <w:rsid w:val="004D3E63"/>
    <w:rsid w:val="004D7BDD"/>
    <w:rsid w:val="004E1368"/>
    <w:rsid w:val="004E4D6B"/>
    <w:rsid w:val="004E68EA"/>
    <w:rsid w:val="004E6BCE"/>
    <w:rsid w:val="004E6D80"/>
    <w:rsid w:val="004E7400"/>
    <w:rsid w:val="004F34AA"/>
    <w:rsid w:val="004F6B7E"/>
    <w:rsid w:val="004F7651"/>
    <w:rsid w:val="005021EB"/>
    <w:rsid w:val="00502F98"/>
    <w:rsid w:val="0050771B"/>
    <w:rsid w:val="00526006"/>
    <w:rsid w:val="0053504D"/>
    <w:rsid w:val="00535DFF"/>
    <w:rsid w:val="0053748F"/>
    <w:rsid w:val="00540AAA"/>
    <w:rsid w:val="005428B8"/>
    <w:rsid w:val="00542BD2"/>
    <w:rsid w:val="005449F8"/>
    <w:rsid w:val="00544B61"/>
    <w:rsid w:val="00546071"/>
    <w:rsid w:val="00552F4A"/>
    <w:rsid w:val="00553398"/>
    <w:rsid w:val="005542C0"/>
    <w:rsid w:val="00556F21"/>
    <w:rsid w:val="00561F39"/>
    <w:rsid w:val="00562C5C"/>
    <w:rsid w:val="00566CE3"/>
    <w:rsid w:val="0057058F"/>
    <w:rsid w:val="00574DEB"/>
    <w:rsid w:val="005754A1"/>
    <w:rsid w:val="005775F0"/>
    <w:rsid w:val="0058138B"/>
    <w:rsid w:val="00587838"/>
    <w:rsid w:val="00594D1D"/>
    <w:rsid w:val="005A389E"/>
    <w:rsid w:val="005A690B"/>
    <w:rsid w:val="005A7A24"/>
    <w:rsid w:val="005A7C36"/>
    <w:rsid w:val="005B1186"/>
    <w:rsid w:val="005B1528"/>
    <w:rsid w:val="005B1AE8"/>
    <w:rsid w:val="005B2B5F"/>
    <w:rsid w:val="005B3148"/>
    <w:rsid w:val="005C48D8"/>
    <w:rsid w:val="005C6705"/>
    <w:rsid w:val="005C743A"/>
    <w:rsid w:val="005D40A4"/>
    <w:rsid w:val="005D7211"/>
    <w:rsid w:val="005E19DD"/>
    <w:rsid w:val="005E39C1"/>
    <w:rsid w:val="005E4035"/>
    <w:rsid w:val="00601EC8"/>
    <w:rsid w:val="006157FB"/>
    <w:rsid w:val="00615CD3"/>
    <w:rsid w:val="00622A50"/>
    <w:rsid w:val="00623757"/>
    <w:rsid w:val="00623E7A"/>
    <w:rsid w:val="00631090"/>
    <w:rsid w:val="006324D9"/>
    <w:rsid w:val="00635F11"/>
    <w:rsid w:val="00636E0D"/>
    <w:rsid w:val="00637B9E"/>
    <w:rsid w:val="00641442"/>
    <w:rsid w:val="00642D4D"/>
    <w:rsid w:val="00646E2D"/>
    <w:rsid w:val="00655051"/>
    <w:rsid w:val="006567CE"/>
    <w:rsid w:val="00665122"/>
    <w:rsid w:val="006659F5"/>
    <w:rsid w:val="00666673"/>
    <w:rsid w:val="00675495"/>
    <w:rsid w:val="00675D17"/>
    <w:rsid w:val="006837E6"/>
    <w:rsid w:val="006971E7"/>
    <w:rsid w:val="006A2252"/>
    <w:rsid w:val="006A3FDE"/>
    <w:rsid w:val="006A697F"/>
    <w:rsid w:val="006A6DE4"/>
    <w:rsid w:val="006B149D"/>
    <w:rsid w:val="006B165A"/>
    <w:rsid w:val="006C3506"/>
    <w:rsid w:val="006C3B1D"/>
    <w:rsid w:val="006C5168"/>
    <w:rsid w:val="006D12B0"/>
    <w:rsid w:val="006D51C9"/>
    <w:rsid w:val="006E1892"/>
    <w:rsid w:val="006E78CB"/>
    <w:rsid w:val="006F3288"/>
    <w:rsid w:val="006F7473"/>
    <w:rsid w:val="00711356"/>
    <w:rsid w:val="00721460"/>
    <w:rsid w:val="00722D72"/>
    <w:rsid w:val="007262FE"/>
    <w:rsid w:val="007266CF"/>
    <w:rsid w:val="00730441"/>
    <w:rsid w:val="00730F30"/>
    <w:rsid w:val="00734F35"/>
    <w:rsid w:val="00736235"/>
    <w:rsid w:val="007408A4"/>
    <w:rsid w:val="00746B6D"/>
    <w:rsid w:val="00750A8E"/>
    <w:rsid w:val="0075515C"/>
    <w:rsid w:val="00755D45"/>
    <w:rsid w:val="00755F2A"/>
    <w:rsid w:val="00756F5A"/>
    <w:rsid w:val="00762609"/>
    <w:rsid w:val="00762DC7"/>
    <w:rsid w:val="007704EC"/>
    <w:rsid w:val="0078054C"/>
    <w:rsid w:val="007806A3"/>
    <w:rsid w:val="0078504D"/>
    <w:rsid w:val="00786464"/>
    <w:rsid w:val="007867FD"/>
    <w:rsid w:val="00786DC4"/>
    <w:rsid w:val="007876A3"/>
    <w:rsid w:val="00790F5A"/>
    <w:rsid w:val="00796F66"/>
    <w:rsid w:val="007A02F2"/>
    <w:rsid w:val="007A231F"/>
    <w:rsid w:val="007A4064"/>
    <w:rsid w:val="007B3BCE"/>
    <w:rsid w:val="007B7D42"/>
    <w:rsid w:val="007C4BF0"/>
    <w:rsid w:val="007D15A9"/>
    <w:rsid w:val="007D5E76"/>
    <w:rsid w:val="007D79B2"/>
    <w:rsid w:val="007E15C2"/>
    <w:rsid w:val="007E1E52"/>
    <w:rsid w:val="007F3B6F"/>
    <w:rsid w:val="007F66B2"/>
    <w:rsid w:val="007F6F7E"/>
    <w:rsid w:val="00803D9C"/>
    <w:rsid w:val="008201D7"/>
    <w:rsid w:val="00821737"/>
    <w:rsid w:val="00821FE2"/>
    <w:rsid w:val="0082240F"/>
    <w:rsid w:val="00822B1E"/>
    <w:rsid w:val="008234C6"/>
    <w:rsid w:val="00823EBB"/>
    <w:rsid w:val="00827CE9"/>
    <w:rsid w:val="0083075F"/>
    <w:rsid w:val="00831F94"/>
    <w:rsid w:val="008347A3"/>
    <w:rsid w:val="0083772D"/>
    <w:rsid w:val="00837E35"/>
    <w:rsid w:val="00843A5C"/>
    <w:rsid w:val="008513FE"/>
    <w:rsid w:val="00863337"/>
    <w:rsid w:val="00876005"/>
    <w:rsid w:val="00876620"/>
    <w:rsid w:val="00881C03"/>
    <w:rsid w:val="00881FD1"/>
    <w:rsid w:val="00885002"/>
    <w:rsid w:val="00885591"/>
    <w:rsid w:val="00890DA4"/>
    <w:rsid w:val="008955FB"/>
    <w:rsid w:val="008A178C"/>
    <w:rsid w:val="008A28EE"/>
    <w:rsid w:val="008A3B19"/>
    <w:rsid w:val="008A6245"/>
    <w:rsid w:val="008B0EE6"/>
    <w:rsid w:val="008B1693"/>
    <w:rsid w:val="008B2231"/>
    <w:rsid w:val="008B450F"/>
    <w:rsid w:val="008B4CE8"/>
    <w:rsid w:val="008C466B"/>
    <w:rsid w:val="008D45FD"/>
    <w:rsid w:val="008D66B9"/>
    <w:rsid w:val="008F47AE"/>
    <w:rsid w:val="008F5995"/>
    <w:rsid w:val="008F7135"/>
    <w:rsid w:val="00903B2D"/>
    <w:rsid w:val="00905723"/>
    <w:rsid w:val="0091147C"/>
    <w:rsid w:val="00912B0A"/>
    <w:rsid w:val="0092767D"/>
    <w:rsid w:val="00934464"/>
    <w:rsid w:val="009351BA"/>
    <w:rsid w:val="00935C23"/>
    <w:rsid w:val="00937277"/>
    <w:rsid w:val="00953D6C"/>
    <w:rsid w:val="0095710D"/>
    <w:rsid w:val="009571EE"/>
    <w:rsid w:val="0096403B"/>
    <w:rsid w:val="009655D4"/>
    <w:rsid w:val="009675B1"/>
    <w:rsid w:val="00983A6D"/>
    <w:rsid w:val="009924AB"/>
    <w:rsid w:val="009A1E4E"/>
    <w:rsid w:val="009A2850"/>
    <w:rsid w:val="009A287E"/>
    <w:rsid w:val="009A45D2"/>
    <w:rsid w:val="009A6CC5"/>
    <w:rsid w:val="009B302A"/>
    <w:rsid w:val="009C612C"/>
    <w:rsid w:val="009D2FE7"/>
    <w:rsid w:val="009E2ABA"/>
    <w:rsid w:val="009E4856"/>
    <w:rsid w:val="009E4C5E"/>
    <w:rsid w:val="009E5BA0"/>
    <w:rsid w:val="009F2387"/>
    <w:rsid w:val="009F30DE"/>
    <w:rsid w:val="009F4A33"/>
    <w:rsid w:val="009F5404"/>
    <w:rsid w:val="00A02377"/>
    <w:rsid w:val="00A0449E"/>
    <w:rsid w:val="00A15C19"/>
    <w:rsid w:val="00A21D18"/>
    <w:rsid w:val="00A223FF"/>
    <w:rsid w:val="00A23E5C"/>
    <w:rsid w:val="00A27844"/>
    <w:rsid w:val="00A364A5"/>
    <w:rsid w:val="00A37102"/>
    <w:rsid w:val="00A37904"/>
    <w:rsid w:val="00A429B7"/>
    <w:rsid w:val="00A43249"/>
    <w:rsid w:val="00A454CA"/>
    <w:rsid w:val="00A45EE0"/>
    <w:rsid w:val="00A50D5D"/>
    <w:rsid w:val="00A5300B"/>
    <w:rsid w:val="00A55742"/>
    <w:rsid w:val="00A62814"/>
    <w:rsid w:val="00A62F61"/>
    <w:rsid w:val="00A703D5"/>
    <w:rsid w:val="00AA3071"/>
    <w:rsid w:val="00AA3A56"/>
    <w:rsid w:val="00AA48BC"/>
    <w:rsid w:val="00AA65AD"/>
    <w:rsid w:val="00AA7EA1"/>
    <w:rsid w:val="00AA7F1F"/>
    <w:rsid w:val="00AB0A76"/>
    <w:rsid w:val="00AB3A24"/>
    <w:rsid w:val="00AB6AF0"/>
    <w:rsid w:val="00AC6B17"/>
    <w:rsid w:val="00AD1E5E"/>
    <w:rsid w:val="00AD2843"/>
    <w:rsid w:val="00AD2E2E"/>
    <w:rsid w:val="00AD3E98"/>
    <w:rsid w:val="00AD57EC"/>
    <w:rsid w:val="00AE163D"/>
    <w:rsid w:val="00AF164D"/>
    <w:rsid w:val="00AF236C"/>
    <w:rsid w:val="00AF3027"/>
    <w:rsid w:val="00B05EA9"/>
    <w:rsid w:val="00B20720"/>
    <w:rsid w:val="00B25DE7"/>
    <w:rsid w:val="00B35841"/>
    <w:rsid w:val="00B36A99"/>
    <w:rsid w:val="00B46C33"/>
    <w:rsid w:val="00B57476"/>
    <w:rsid w:val="00B60E6A"/>
    <w:rsid w:val="00B632F6"/>
    <w:rsid w:val="00B63C7B"/>
    <w:rsid w:val="00B90F78"/>
    <w:rsid w:val="00B913C7"/>
    <w:rsid w:val="00B91459"/>
    <w:rsid w:val="00B93BD4"/>
    <w:rsid w:val="00B93FBA"/>
    <w:rsid w:val="00B959FC"/>
    <w:rsid w:val="00BA1E23"/>
    <w:rsid w:val="00BA4456"/>
    <w:rsid w:val="00BB2ECD"/>
    <w:rsid w:val="00BB40B3"/>
    <w:rsid w:val="00BB6A88"/>
    <w:rsid w:val="00BB6FF5"/>
    <w:rsid w:val="00BC2AF2"/>
    <w:rsid w:val="00BD2E7E"/>
    <w:rsid w:val="00BD6084"/>
    <w:rsid w:val="00BD6225"/>
    <w:rsid w:val="00BD7115"/>
    <w:rsid w:val="00BD7871"/>
    <w:rsid w:val="00BE217E"/>
    <w:rsid w:val="00BE69EF"/>
    <w:rsid w:val="00BF3C70"/>
    <w:rsid w:val="00BF4662"/>
    <w:rsid w:val="00C01452"/>
    <w:rsid w:val="00C02D8D"/>
    <w:rsid w:val="00C048D0"/>
    <w:rsid w:val="00C11366"/>
    <w:rsid w:val="00C12069"/>
    <w:rsid w:val="00C12FC3"/>
    <w:rsid w:val="00C16E43"/>
    <w:rsid w:val="00C21337"/>
    <w:rsid w:val="00C22115"/>
    <w:rsid w:val="00C229B3"/>
    <w:rsid w:val="00C23712"/>
    <w:rsid w:val="00C23BCF"/>
    <w:rsid w:val="00C23C9A"/>
    <w:rsid w:val="00C2606E"/>
    <w:rsid w:val="00C26E3A"/>
    <w:rsid w:val="00C34F97"/>
    <w:rsid w:val="00C419F7"/>
    <w:rsid w:val="00C44DA2"/>
    <w:rsid w:val="00C53E02"/>
    <w:rsid w:val="00C55320"/>
    <w:rsid w:val="00C5573E"/>
    <w:rsid w:val="00C55EAD"/>
    <w:rsid w:val="00C57A46"/>
    <w:rsid w:val="00C57AF2"/>
    <w:rsid w:val="00C65D03"/>
    <w:rsid w:val="00C678E5"/>
    <w:rsid w:val="00C731F0"/>
    <w:rsid w:val="00C75702"/>
    <w:rsid w:val="00C75B27"/>
    <w:rsid w:val="00C765F9"/>
    <w:rsid w:val="00C908D2"/>
    <w:rsid w:val="00C95AAA"/>
    <w:rsid w:val="00C96711"/>
    <w:rsid w:val="00C96841"/>
    <w:rsid w:val="00CA0D8C"/>
    <w:rsid w:val="00CA36BA"/>
    <w:rsid w:val="00CA4641"/>
    <w:rsid w:val="00CA6F0F"/>
    <w:rsid w:val="00CB00A4"/>
    <w:rsid w:val="00CB2D43"/>
    <w:rsid w:val="00CB52B8"/>
    <w:rsid w:val="00CB56C2"/>
    <w:rsid w:val="00CC04E4"/>
    <w:rsid w:val="00CC078E"/>
    <w:rsid w:val="00CC2769"/>
    <w:rsid w:val="00CC5008"/>
    <w:rsid w:val="00CD1223"/>
    <w:rsid w:val="00CD4FFD"/>
    <w:rsid w:val="00CD6AA3"/>
    <w:rsid w:val="00CE0D45"/>
    <w:rsid w:val="00CE3393"/>
    <w:rsid w:val="00CE45BE"/>
    <w:rsid w:val="00CE4E73"/>
    <w:rsid w:val="00CF1F77"/>
    <w:rsid w:val="00CF2C84"/>
    <w:rsid w:val="00CF69EF"/>
    <w:rsid w:val="00D00E41"/>
    <w:rsid w:val="00D17CB9"/>
    <w:rsid w:val="00D31D23"/>
    <w:rsid w:val="00D3243A"/>
    <w:rsid w:val="00D3304A"/>
    <w:rsid w:val="00D335D8"/>
    <w:rsid w:val="00D40564"/>
    <w:rsid w:val="00D44CC2"/>
    <w:rsid w:val="00D47B5B"/>
    <w:rsid w:val="00D516DF"/>
    <w:rsid w:val="00D53085"/>
    <w:rsid w:val="00D65493"/>
    <w:rsid w:val="00D71198"/>
    <w:rsid w:val="00D7154D"/>
    <w:rsid w:val="00D750EB"/>
    <w:rsid w:val="00D77ACA"/>
    <w:rsid w:val="00D77E98"/>
    <w:rsid w:val="00D80F64"/>
    <w:rsid w:val="00D8161A"/>
    <w:rsid w:val="00D83101"/>
    <w:rsid w:val="00D83C50"/>
    <w:rsid w:val="00D8769F"/>
    <w:rsid w:val="00D87D63"/>
    <w:rsid w:val="00D91FD8"/>
    <w:rsid w:val="00D93975"/>
    <w:rsid w:val="00D9412F"/>
    <w:rsid w:val="00D94BBF"/>
    <w:rsid w:val="00D9509A"/>
    <w:rsid w:val="00D97310"/>
    <w:rsid w:val="00DA5B4D"/>
    <w:rsid w:val="00DA5BD5"/>
    <w:rsid w:val="00DC25CF"/>
    <w:rsid w:val="00DC2649"/>
    <w:rsid w:val="00DC391C"/>
    <w:rsid w:val="00DC4AA8"/>
    <w:rsid w:val="00DC6B78"/>
    <w:rsid w:val="00DD3B9D"/>
    <w:rsid w:val="00DD73A1"/>
    <w:rsid w:val="00DD7C71"/>
    <w:rsid w:val="00DF177D"/>
    <w:rsid w:val="00DF4ED2"/>
    <w:rsid w:val="00E02238"/>
    <w:rsid w:val="00E02B32"/>
    <w:rsid w:val="00E12147"/>
    <w:rsid w:val="00E16F90"/>
    <w:rsid w:val="00E17FA6"/>
    <w:rsid w:val="00E219D4"/>
    <w:rsid w:val="00E24B87"/>
    <w:rsid w:val="00E35BDD"/>
    <w:rsid w:val="00E42C06"/>
    <w:rsid w:val="00E5483D"/>
    <w:rsid w:val="00E55253"/>
    <w:rsid w:val="00E63CDF"/>
    <w:rsid w:val="00E65C8F"/>
    <w:rsid w:val="00E725C5"/>
    <w:rsid w:val="00E75339"/>
    <w:rsid w:val="00E84B07"/>
    <w:rsid w:val="00E92FC4"/>
    <w:rsid w:val="00E96EC0"/>
    <w:rsid w:val="00EA0764"/>
    <w:rsid w:val="00EA6F5F"/>
    <w:rsid w:val="00EC390C"/>
    <w:rsid w:val="00EC52E0"/>
    <w:rsid w:val="00ED4B92"/>
    <w:rsid w:val="00ED55D7"/>
    <w:rsid w:val="00ED5DAF"/>
    <w:rsid w:val="00EE08AD"/>
    <w:rsid w:val="00EF070B"/>
    <w:rsid w:val="00EF6645"/>
    <w:rsid w:val="00EF7887"/>
    <w:rsid w:val="00EF7C0F"/>
    <w:rsid w:val="00F00399"/>
    <w:rsid w:val="00F006E5"/>
    <w:rsid w:val="00F05FD6"/>
    <w:rsid w:val="00F10EF1"/>
    <w:rsid w:val="00F140B0"/>
    <w:rsid w:val="00F15316"/>
    <w:rsid w:val="00F15FC3"/>
    <w:rsid w:val="00F16B40"/>
    <w:rsid w:val="00F34772"/>
    <w:rsid w:val="00F347EF"/>
    <w:rsid w:val="00F36A8C"/>
    <w:rsid w:val="00F370F8"/>
    <w:rsid w:val="00F47103"/>
    <w:rsid w:val="00F553C5"/>
    <w:rsid w:val="00F565B2"/>
    <w:rsid w:val="00F6063A"/>
    <w:rsid w:val="00F64CFE"/>
    <w:rsid w:val="00F66028"/>
    <w:rsid w:val="00F66E54"/>
    <w:rsid w:val="00F76B43"/>
    <w:rsid w:val="00F83914"/>
    <w:rsid w:val="00F931FB"/>
    <w:rsid w:val="00F94516"/>
    <w:rsid w:val="00FA0925"/>
    <w:rsid w:val="00FA1BA2"/>
    <w:rsid w:val="00FB71F0"/>
    <w:rsid w:val="00FB79CE"/>
    <w:rsid w:val="00FB7E1C"/>
    <w:rsid w:val="00FC0598"/>
    <w:rsid w:val="00FD2E2B"/>
    <w:rsid w:val="00FD3AF5"/>
    <w:rsid w:val="00FD5D4A"/>
    <w:rsid w:val="00FE2096"/>
    <w:rsid w:val="00FE5165"/>
    <w:rsid w:val="00FE601A"/>
    <w:rsid w:val="00FF4722"/>
    <w:rsid w:val="00FF7C8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2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347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34772"/>
  </w:style>
  <w:style w:type="paragraph" w:styleId="Piedepgina">
    <w:name w:val="footer"/>
    <w:basedOn w:val="Normal"/>
    <w:link w:val="PiedepginaCar"/>
    <w:uiPriority w:val="99"/>
    <w:unhideWhenUsed/>
    <w:rsid w:val="00F347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34772"/>
  </w:style>
  <w:style w:type="paragraph" w:styleId="Textodeglobo">
    <w:name w:val="Balloon Text"/>
    <w:basedOn w:val="Normal"/>
    <w:link w:val="TextodegloboCar"/>
    <w:uiPriority w:val="99"/>
    <w:semiHidden/>
    <w:unhideWhenUsed/>
    <w:rsid w:val="00F347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772"/>
    <w:rPr>
      <w:rFonts w:ascii="Tahoma" w:hAnsi="Tahoma" w:cs="Tahoma"/>
      <w:sz w:val="16"/>
      <w:szCs w:val="16"/>
    </w:rPr>
  </w:style>
  <w:style w:type="paragraph" w:styleId="Prrafodelista">
    <w:name w:val="List Paragraph"/>
    <w:basedOn w:val="Normal"/>
    <w:uiPriority w:val="34"/>
    <w:qFormat/>
    <w:rsid w:val="00173E50"/>
    <w:pPr>
      <w:ind w:left="720"/>
      <w:contextualSpacing/>
    </w:pPr>
  </w:style>
  <w:style w:type="paragraph" w:styleId="Ttulo">
    <w:name w:val="Title"/>
    <w:basedOn w:val="Normal"/>
    <w:next w:val="Normal"/>
    <w:link w:val="TtuloCar"/>
    <w:uiPriority w:val="10"/>
    <w:qFormat/>
    <w:rsid w:val="00181FA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181FA0"/>
    <w:rPr>
      <w:rFonts w:asciiTheme="majorHAnsi" w:eastAsiaTheme="majorEastAsia" w:hAnsiTheme="majorHAnsi" w:cstheme="majorBidi"/>
      <w:color w:val="17365D" w:themeColor="text2" w:themeShade="BF"/>
      <w:spacing w:val="5"/>
      <w:kern w:val="28"/>
      <w:sz w:val="52"/>
      <w:szCs w:val="52"/>
    </w:rPr>
  </w:style>
  <w:style w:type="paragraph" w:styleId="Textonotaalfinal">
    <w:name w:val="endnote text"/>
    <w:basedOn w:val="Normal"/>
    <w:link w:val="TextonotaalfinalCar"/>
    <w:uiPriority w:val="99"/>
    <w:semiHidden/>
    <w:unhideWhenUsed/>
    <w:rsid w:val="00BD608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D6084"/>
    <w:rPr>
      <w:sz w:val="20"/>
      <w:szCs w:val="20"/>
    </w:rPr>
  </w:style>
  <w:style w:type="character" w:styleId="Refdenotaalfinal">
    <w:name w:val="endnote reference"/>
    <w:basedOn w:val="Fuentedeprrafopredeter"/>
    <w:uiPriority w:val="99"/>
    <w:semiHidden/>
    <w:unhideWhenUsed/>
    <w:rsid w:val="00BD6084"/>
    <w:rPr>
      <w:vertAlign w:val="superscript"/>
    </w:rPr>
  </w:style>
  <w:style w:type="paragraph" w:styleId="Textonotapie">
    <w:name w:val="footnote text"/>
    <w:basedOn w:val="Normal"/>
    <w:link w:val="TextonotapieCar"/>
    <w:uiPriority w:val="99"/>
    <w:semiHidden/>
    <w:unhideWhenUsed/>
    <w:rsid w:val="00BD60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D6084"/>
    <w:rPr>
      <w:sz w:val="20"/>
      <w:szCs w:val="20"/>
    </w:rPr>
  </w:style>
  <w:style w:type="character" w:styleId="Refdenotaalpie">
    <w:name w:val="footnote reference"/>
    <w:basedOn w:val="Fuentedeprrafopredeter"/>
    <w:uiPriority w:val="99"/>
    <w:semiHidden/>
    <w:unhideWhenUsed/>
    <w:rsid w:val="00BD6084"/>
    <w:rPr>
      <w:vertAlign w:val="superscript"/>
    </w:rPr>
  </w:style>
  <w:style w:type="table" w:styleId="Tablaconcuadrcula">
    <w:name w:val="Table Grid"/>
    <w:basedOn w:val="Tablanormal"/>
    <w:uiPriority w:val="59"/>
    <w:rsid w:val="000514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Sombreadoclaro-nfasis4">
    <w:name w:val="Light Shading Accent 4"/>
    <w:basedOn w:val="Tablanormal"/>
    <w:uiPriority w:val="60"/>
    <w:rsid w:val="00386734"/>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Textoennegrita">
    <w:name w:val="Strong"/>
    <w:basedOn w:val="Fuentedeprrafopredeter"/>
    <w:uiPriority w:val="22"/>
    <w:qFormat/>
    <w:rsid w:val="00FB71F0"/>
    <w:rPr>
      <w:b/>
      <w:bCs/>
    </w:rPr>
  </w:style>
  <w:style w:type="paragraph" w:styleId="NormalWeb">
    <w:name w:val="Normal (Web)"/>
    <w:basedOn w:val="Normal"/>
    <w:uiPriority w:val="99"/>
    <w:semiHidden/>
    <w:unhideWhenUsed/>
    <w:rsid w:val="00FB71F0"/>
    <w:pPr>
      <w:spacing w:before="240" w:after="120" w:line="240" w:lineRule="auto"/>
    </w:pPr>
    <w:rPr>
      <w:rFonts w:ascii="Times New Roman" w:eastAsia="Times New Roman" w:hAnsi="Times New Roman" w:cs="Times New Roman"/>
      <w:sz w:val="24"/>
      <w:szCs w:val="24"/>
      <w:lang w:eastAsia="es-ES"/>
    </w:rPr>
  </w:style>
  <w:style w:type="paragraph" w:customStyle="1" w:styleId="fuente">
    <w:name w:val="fuente"/>
    <w:basedOn w:val="Normal"/>
    <w:rsid w:val="008B4CE8"/>
    <w:pPr>
      <w:spacing w:after="360" w:line="320" w:lineRule="exact"/>
      <w:jc w:val="both"/>
    </w:pPr>
    <w:rPr>
      <w:rFonts w:ascii="Arial Narrow" w:eastAsia="Times New Roman" w:hAnsi="Arial Narrow" w:cs="Times New Roman"/>
      <w:i/>
      <w:sz w:val="24"/>
      <w:szCs w:val="24"/>
      <w:lang w:val="es-ES_tradnl" w:eastAsia="es-ES"/>
    </w:rPr>
  </w:style>
  <w:style w:type="table" w:styleId="Listaclara-nfasis4">
    <w:name w:val="Light List Accent 4"/>
    <w:basedOn w:val="Tablanormal"/>
    <w:uiPriority w:val="61"/>
    <w:rsid w:val="00BC2AF2"/>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s>
</file>

<file path=word/webSettings.xml><?xml version="1.0" encoding="utf-8"?>
<w:webSettings xmlns:r="http://schemas.openxmlformats.org/officeDocument/2006/relationships" xmlns:w="http://schemas.openxmlformats.org/wordprocessingml/2006/main">
  <w:divs>
    <w:div w:id="1438675448">
      <w:bodyDiv w:val="1"/>
      <w:marLeft w:val="0"/>
      <w:marRight w:val="0"/>
      <w:marTop w:val="0"/>
      <w:marBottom w:val="0"/>
      <w:divBdr>
        <w:top w:val="none" w:sz="0" w:space="0" w:color="auto"/>
        <w:left w:val="none" w:sz="0" w:space="0" w:color="auto"/>
        <w:bottom w:val="none" w:sz="0" w:space="0" w:color="auto"/>
        <w:right w:val="none" w:sz="0" w:space="0" w:color="auto"/>
      </w:divBdr>
    </w:div>
    <w:div w:id="1445731430">
      <w:bodyDiv w:val="1"/>
      <w:marLeft w:val="0"/>
      <w:marRight w:val="0"/>
      <w:marTop w:val="0"/>
      <w:marBottom w:val="0"/>
      <w:divBdr>
        <w:top w:val="none" w:sz="0" w:space="0" w:color="auto"/>
        <w:left w:val="none" w:sz="0" w:space="0" w:color="auto"/>
        <w:bottom w:val="none" w:sz="0" w:space="0" w:color="auto"/>
        <w:right w:val="none" w:sz="0" w:space="0" w:color="auto"/>
      </w:divBdr>
    </w:div>
    <w:div w:id="1925651059">
      <w:bodyDiv w:val="1"/>
      <w:marLeft w:val="0"/>
      <w:marRight w:val="0"/>
      <w:marTop w:val="0"/>
      <w:marBottom w:val="0"/>
      <w:divBdr>
        <w:top w:val="none" w:sz="0" w:space="0" w:color="auto"/>
        <w:left w:val="none" w:sz="0" w:space="0" w:color="auto"/>
        <w:bottom w:val="none" w:sz="0" w:space="0" w:color="auto"/>
        <w:right w:val="none" w:sz="0" w:space="0" w:color="auto"/>
      </w:divBdr>
      <w:divsChild>
        <w:div w:id="218899978">
          <w:marLeft w:val="-150"/>
          <w:marRight w:val="-45"/>
          <w:marTop w:val="0"/>
          <w:marBottom w:val="0"/>
          <w:divBdr>
            <w:top w:val="none" w:sz="0" w:space="0" w:color="auto"/>
            <w:left w:val="none" w:sz="0" w:space="0" w:color="auto"/>
            <w:bottom w:val="none" w:sz="0" w:space="0" w:color="auto"/>
            <w:right w:val="none" w:sz="0" w:space="0" w:color="auto"/>
          </w:divBdr>
          <w:divsChild>
            <w:div w:id="17532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eader" Target="header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diagramColors" Target="diagrams/colors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Hoja_de_c_lculo_de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Hoja_de_c_lculo_de_Microsoft_Office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Hoja_de_c_lculo_de_Microsoft_Office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Hoja_de_c_lculo_de_Microsoft_Office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Hoja_de_c_lculo_de_Microsoft_Office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Hoja_de_c_lculo_de_Microsoft_Office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Hoja_de_c_lculo_de_Microsoft_Office_Excel1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Hoja_de_c_lculo_de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Hoja_de_c_lculo_de_Microsoft_Office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Hoja_de_c_lculo_de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Hoja_de_c_lculo_de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Hoja_de_c_lculo_de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Hoja_de_c_lculo_de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Hoja_de_c_lculo_de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solidFill>
                  <a:srgbClr val="7030A0"/>
                </a:solidFill>
              </a:defRPr>
            </a:pPr>
            <a:r>
              <a:rPr lang="es-ES" sz="1400">
                <a:solidFill>
                  <a:srgbClr val="7030A0"/>
                </a:solidFill>
              </a:rPr>
              <a:t>Tasas de crecimiento</a:t>
            </a:r>
          </a:p>
        </c:rich>
      </c:tx>
      <c:layout/>
    </c:title>
    <c:plotArea>
      <c:layout>
        <c:manualLayout>
          <c:layoutTarget val="inner"/>
          <c:xMode val="edge"/>
          <c:yMode val="edge"/>
          <c:x val="8.8615084332708663E-2"/>
          <c:y val="0.14544438748220398"/>
          <c:w val="0.88551473692787463"/>
          <c:h val="0.60614747788657086"/>
        </c:manualLayout>
      </c:layout>
      <c:lineChart>
        <c:grouping val="standard"/>
        <c:ser>
          <c:idx val="0"/>
          <c:order val="0"/>
          <c:tx>
            <c:strRef>
              <c:f>Hoja1!$B$1</c:f>
              <c:strCache>
                <c:ptCount val="1"/>
                <c:pt idx="0">
                  <c:v>España</c:v>
                </c:pt>
              </c:strCache>
            </c:strRef>
          </c:tx>
          <c:spPr>
            <a:ln>
              <a:solidFill>
                <a:srgbClr val="CCCC00"/>
              </a:solidFill>
            </a:ln>
          </c:spPr>
          <c:marker>
            <c:symbol val="none"/>
          </c:marker>
          <c:dLbls>
            <c:dLbl>
              <c:idx val="0"/>
              <c:layout>
                <c:manualLayout>
                  <c:x val="2.3511852472937779E-3"/>
                  <c:y val="1.4093134535059724E-2"/>
                </c:manualLayout>
              </c:layout>
              <c:dLblPos val="t"/>
              <c:showVal val="1"/>
            </c:dLbl>
            <c:dLbl>
              <c:idx val="5"/>
              <c:layout>
                <c:manualLayout>
                  <c:x val="2.5870178739416775E-2"/>
                  <c:y val="4.0314452731304174E-3"/>
                </c:manualLayout>
              </c:layout>
              <c:dLblPos val="t"/>
              <c:showVal val="1"/>
            </c:dLbl>
            <c:numFmt formatCode="#,##0.00" sourceLinked="0"/>
            <c:dLblPos val="t"/>
            <c:showVal val="1"/>
          </c:dLbls>
          <c:cat>
            <c:numRef>
              <c:f>Hoja1!$A$2:$A$7</c:f>
              <c:numCache>
                <c:formatCode>General</c:formatCode>
                <c:ptCount val="6"/>
                <c:pt idx="0">
                  <c:v>2015</c:v>
                </c:pt>
                <c:pt idx="1">
                  <c:v>2016</c:v>
                </c:pt>
                <c:pt idx="2">
                  <c:v>2017</c:v>
                </c:pt>
                <c:pt idx="3">
                  <c:v>2018</c:v>
                </c:pt>
                <c:pt idx="4">
                  <c:v>2019</c:v>
                </c:pt>
                <c:pt idx="5">
                  <c:v>2020</c:v>
                </c:pt>
              </c:numCache>
            </c:numRef>
          </c:cat>
          <c:val>
            <c:numRef>
              <c:f>Hoja1!$B$2:$B$7</c:f>
              <c:numCache>
                <c:formatCode>General</c:formatCode>
                <c:ptCount val="6"/>
                <c:pt idx="0">
                  <c:v>3.84</c:v>
                </c:pt>
                <c:pt idx="1">
                  <c:v>3.03</c:v>
                </c:pt>
                <c:pt idx="2">
                  <c:v>2.9699999999999998</c:v>
                </c:pt>
                <c:pt idx="3">
                  <c:v>2.4299999999999997</c:v>
                </c:pt>
                <c:pt idx="4">
                  <c:v>1.95</c:v>
                </c:pt>
                <c:pt idx="5">
                  <c:v>-10.84</c:v>
                </c:pt>
              </c:numCache>
            </c:numRef>
          </c:val>
        </c:ser>
        <c:ser>
          <c:idx val="1"/>
          <c:order val="1"/>
          <c:tx>
            <c:strRef>
              <c:f>Hoja1!$C$1</c:f>
              <c:strCache>
                <c:ptCount val="1"/>
                <c:pt idx="0">
                  <c:v>UE-27</c:v>
                </c:pt>
              </c:strCache>
            </c:strRef>
          </c:tx>
          <c:spPr>
            <a:ln>
              <a:solidFill>
                <a:srgbClr val="993366"/>
              </a:solidFill>
            </a:ln>
          </c:spPr>
          <c:marker>
            <c:symbol val="none"/>
          </c:marker>
          <c:dLbls>
            <c:dLbl>
              <c:idx val="0"/>
              <c:layout>
                <c:manualLayout>
                  <c:x val="-2.0364596630103582E-6"/>
                  <c:y val="7.9895126364740734E-2"/>
                </c:manualLayout>
              </c:layout>
              <c:dLblPos val="t"/>
              <c:showVal val="1"/>
            </c:dLbl>
            <c:dLbl>
              <c:idx val="1"/>
              <c:layout>
                <c:manualLayout>
                  <c:x val="1.1755926236468893E-2"/>
                  <c:y val="7.9895126364740734E-2"/>
                </c:manualLayout>
              </c:layout>
              <c:dLblPos val="t"/>
              <c:showVal val="1"/>
            </c:dLbl>
            <c:dLbl>
              <c:idx val="2"/>
              <c:layout>
                <c:manualLayout>
                  <c:x val="2.3518344308560675E-3"/>
                  <c:y val="8.8691796008869256E-2"/>
                </c:manualLayout>
              </c:layout>
              <c:dLblPos val="t"/>
              <c:showVal val="1"/>
            </c:dLbl>
            <c:dLbl>
              <c:idx val="3"/>
              <c:layout>
                <c:manualLayout>
                  <c:x val="-4.703668861712142E-3"/>
                  <c:y val="8.0628905462608425E-2"/>
                </c:manualLayout>
              </c:layout>
              <c:dLblPos val="t"/>
              <c:showVal val="1"/>
            </c:dLbl>
            <c:dLbl>
              <c:idx val="4"/>
              <c:layout>
                <c:manualLayout>
                  <c:x val="-9.4073377234242771E-3"/>
                  <c:y val="8.8691796008869284E-2"/>
                </c:manualLayout>
              </c:layout>
              <c:dLblPos val="t"/>
              <c:showVal val="1"/>
            </c:dLbl>
            <c:dLbl>
              <c:idx val="5"/>
              <c:layout>
                <c:manualLayout>
                  <c:x val="1.8814675446848554E-2"/>
                  <c:y val="1.2094335819391257E-2"/>
                </c:manualLayout>
              </c:layout>
              <c:dLblPos val="t"/>
              <c:showVal val="1"/>
            </c:dLbl>
            <c:numFmt formatCode="#,##0.00" sourceLinked="0"/>
            <c:dLblPos val="t"/>
            <c:showVal val="1"/>
          </c:dLbls>
          <c:cat>
            <c:numRef>
              <c:f>Hoja1!$A$2:$A$7</c:f>
              <c:numCache>
                <c:formatCode>General</c:formatCode>
                <c:ptCount val="6"/>
                <c:pt idx="0">
                  <c:v>2015</c:v>
                </c:pt>
                <c:pt idx="1">
                  <c:v>2016</c:v>
                </c:pt>
                <c:pt idx="2">
                  <c:v>2017</c:v>
                </c:pt>
                <c:pt idx="3">
                  <c:v>2018</c:v>
                </c:pt>
                <c:pt idx="4">
                  <c:v>2019</c:v>
                </c:pt>
                <c:pt idx="5">
                  <c:v>2020</c:v>
                </c:pt>
              </c:numCache>
            </c:numRef>
          </c:cat>
          <c:val>
            <c:numRef>
              <c:f>Hoja1!$C$2:$C$7</c:f>
              <c:numCache>
                <c:formatCode>General</c:formatCode>
                <c:ptCount val="6"/>
                <c:pt idx="0">
                  <c:v>2.29</c:v>
                </c:pt>
                <c:pt idx="1">
                  <c:v>2.0099999999999998</c:v>
                </c:pt>
                <c:pt idx="2">
                  <c:v>2.8099999999999987</c:v>
                </c:pt>
                <c:pt idx="3">
                  <c:v>2.11</c:v>
                </c:pt>
                <c:pt idx="4">
                  <c:v>1.58</c:v>
                </c:pt>
                <c:pt idx="5">
                  <c:v>-6.1</c:v>
                </c:pt>
              </c:numCache>
            </c:numRef>
          </c:val>
        </c:ser>
        <c:dLbls>
          <c:showVal val="1"/>
        </c:dLbls>
        <c:marker val="1"/>
        <c:axId val="100748672"/>
        <c:axId val="39388288"/>
      </c:lineChart>
      <c:catAx>
        <c:axId val="100748672"/>
        <c:scaling>
          <c:orientation val="minMax"/>
        </c:scaling>
        <c:axPos val="b"/>
        <c:numFmt formatCode="General" sourceLinked="1"/>
        <c:tickLblPos val="low"/>
        <c:crossAx val="39388288"/>
        <c:crosses val="autoZero"/>
        <c:auto val="1"/>
        <c:lblAlgn val="ctr"/>
        <c:lblOffset val="100"/>
      </c:catAx>
      <c:valAx>
        <c:axId val="39388288"/>
        <c:scaling>
          <c:orientation val="minMax"/>
        </c:scaling>
        <c:axPos val="l"/>
        <c:numFmt formatCode="General" sourceLinked="1"/>
        <c:tickLblPos val="nextTo"/>
        <c:spPr>
          <a:ln>
            <a:solidFill>
              <a:srgbClr val="7030A0"/>
            </a:solidFill>
          </a:ln>
        </c:spPr>
        <c:crossAx val="100748672"/>
        <c:crosses val="autoZero"/>
        <c:crossBetween val="between"/>
      </c:valAx>
      <c:spPr>
        <a:ln>
          <a:solidFill>
            <a:srgbClr val="7030A0"/>
          </a:solidFill>
        </a:ln>
      </c:spPr>
    </c:plotArea>
    <c:legend>
      <c:legendPos val="b"/>
      <c:layout/>
    </c:legend>
    <c:plotVisOnly val="1"/>
  </c:chart>
  <c:spPr>
    <a:ln>
      <a:solidFill>
        <a:srgbClr val="7030A0"/>
      </a:solidFill>
    </a:ln>
  </c:spPr>
  <c:txPr>
    <a:bodyPr/>
    <a:lstStyle/>
    <a:p>
      <a:pPr>
        <a:defRPr>
          <a:latin typeface="Verdana" pitchFamily="34" charset="0"/>
          <a:ea typeface="Verdana" pitchFamily="34" charset="0"/>
        </a:defRPr>
      </a:pPr>
      <a:endParaRPr lang="es-E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s-ES" sz="1100">
                <a:solidFill>
                  <a:srgbClr val="7030A0"/>
                </a:solidFill>
              </a:rPr>
              <a:t>Hogares</a:t>
            </a:r>
            <a:r>
              <a:rPr lang="es-ES" sz="1100" baseline="0">
                <a:solidFill>
                  <a:srgbClr val="7030A0"/>
                </a:solidFill>
              </a:rPr>
              <a:t> que no pueden permitirse una serie de conceptos. Asturias</a:t>
            </a:r>
            <a:endParaRPr lang="es-ES" sz="1100">
              <a:solidFill>
                <a:srgbClr val="7030A0"/>
              </a:solidFill>
            </a:endParaRPr>
          </a:p>
        </c:rich>
      </c:tx>
      <c:layout/>
    </c:title>
    <c:plotArea>
      <c:layout/>
      <c:barChart>
        <c:barDir val="bar"/>
        <c:grouping val="clustered"/>
        <c:ser>
          <c:idx val="0"/>
          <c:order val="0"/>
          <c:tx>
            <c:strRef>
              <c:f>Hoja1!$B$1</c:f>
              <c:strCache>
                <c:ptCount val="1"/>
                <c:pt idx="0">
                  <c:v>2010</c:v>
                </c:pt>
              </c:strCache>
            </c:strRef>
          </c:tx>
          <c:spPr>
            <a:solidFill>
              <a:srgbClr val="993366"/>
            </a:solidFill>
          </c:spPr>
          <c:dLbls>
            <c:showVal val="1"/>
          </c:dLbls>
          <c:cat>
            <c:strRef>
              <c:f>Hoja1!$A$2:$A$6</c:f>
              <c:strCache>
                <c:ptCount val="5"/>
                <c:pt idx="0">
                  <c:v>Vacaciones 1 semana al año</c:v>
                </c:pt>
                <c:pt idx="1">
                  <c:v>Comida carne o pescado cada 2 días</c:v>
                </c:pt>
                <c:pt idx="2">
                  <c:v>Vivienda temperatura adecuada</c:v>
                </c:pt>
                <c:pt idx="3">
                  <c:v>Afrontar gastos imprevistos</c:v>
                </c:pt>
                <c:pt idx="4">
                  <c:v>Retrasos en el pago de gastos relacionados con la vivienda</c:v>
                </c:pt>
              </c:strCache>
            </c:strRef>
          </c:cat>
          <c:val>
            <c:numRef>
              <c:f>Hoja1!$B$2:$B$6</c:f>
              <c:numCache>
                <c:formatCode>General</c:formatCode>
                <c:ptCount val="5"/>
                <c:pt idx="0">
                  <c:v>31.4</c:v>
                </c:pt>
                <c:pt idx="1">
                  <c:v>1.4</c:v>
                </c:pt>
                <c:pt idx="2">
                  <c:v>5.9</c:v>
                </c:pt>
                <c:pt idx="3">
                  <c:v>22.6</c:v>
                </c:pt>
                <c:pt idx="4">
                  <c:v>2.2000000000000002</c:v>
                </c:pt>
              </c:numCache>
            </c:numRef>
          </c:val>
        </c:ser>
        <c:ser>
          <c:idx val="1"/>
          <c:order val="1"/>
          <c:tx>
            <c:strRef>
              <c:f>Hoja1!$C$1</c:f>
              <c:strCache>
                <c:ptCount val="1"/>
                <c:pt idx="0">
                  <c:v>2020</c:v>
                </c:pt>
              </c:strCache>
            </c:strRef>
          </c:tx>
          <c:spPr>
            <a:solidFill>
              <a:srgbClr val="CCCC00"/>
            </a:solidFill>
          </c:spPr>
          <c:dLbls>
            <c:showVal val="1"/>
          </c:dLbls>
          <c:cat>
            <c:strRef>
              <c:f>Hoja1!$A$2:$A$6</c:f>
              <c:strCache>
                <c:ptCount val="5"/>
                <c:pt idx="0">
                  <c:v>Vacaciones 1 semana al año</c:v>
                </c:pt>
                <c:pt idx="1">
                  <c:v>Comida carne o pescado cada 2 días</c:v>
                </c:pt>
                <c:pt idx="2">
                  <c:v>Vivienda temperatura adecuada</c:v>
                </c:pt>
                <c:pt idx="3">
                  <c:v>Afrontar gastos imprevistos</c:v>
                </c:pt>
                <c:pt idx="4">
                  <c:v>Retrasos en el pago de gastos relacionados con la vivienda</c:v>
                </c:pt>
              </c:strCache>
            </c:strRef>
          </c:cat>
          <c:val>
            <c:numRef>
              <c:f>Hoja1!$C$2:$C$6</c:f>
              <c:numCache>
                <c:formatCode>General</c:formatCode>
                <c:ptCount val="5"/>
                <c:pt idx="0">
                  <c:v>31.4</c:v>
                </c:pt>
                <c:pt idx="1">
                  <c:v>2.9</c:v>
                </c:pt>
                <c:pt idx="2">
                  <c:v>10.4</c:v>
                </c:pt>
                <c:pt idx="3">
                  <c:v>28.5</c:v>
                </c:pt>
                <c:pt idx="4">
                  <c:v>10.3</c:v>
                </c:pt>
              </c:numCache>
            </c:numRef>
          </c:val>
        </c:ser>
        <c:dLbls>
          <c:showVal val="1"/>
        </c:dLbls>
        <c:axId val="102125952"/>
        <c:axId val="102127488"/>
      </c:barChart>
      <c:catAx>
        <c:axId val="102125952"/>
        <c:scaling>
          <c:orientation val="minMax"/>
        </c:scaling>
        <c:axPos val="l"/>
        <c:tickLblPos val="nextTo"/>
        <c:spPr>
          <a:ln>
            <a:solidFill>
              <a:srgbClr val="B3A2C7"/>
            </a:solidFill>
          </a:ln>
        </c:spPr>
        <c:crossAx val="102127488"/>
        <c:crosses val="autoZero"/>
        <c:auto val="1"/>
        <c:lblAlgn val="ctr"/>
        <c:lblOffset val="100"/>
      </c:catAx>
      <c:valAx>
        <c:axId val="102127488"/>
        <c:scaling>
          <c:orientation val="minMax"/>
          <c:max val="40"/>
        </c:scaling>
        <c:axPos val="b"/>
        <c:numFmt formatCode="General" sourceLinked="1"/>
        <c:tickLblPos val="nextTo"/>
        <c:spPr>
          <a:ln>
            <a:solidFill>
              <a:srgbClr val="B3A2C7"/>
            </a:solidFill>
          </a:ln>
        </c:spPr>
        <c:crossAx val="102125952"/>
        <c:crosses val="autoZero"/>
        <c:crossBetween val="between"/>
      </c:valAx>
      <c:spPr>
        <a:ln>
          <a:solidFill>
            <a:srgbClr val="B3A2C7"/>
          </a:solidFill>
        </a:ln>
      </c:spPr>
    </c:plotArea>
    <c:legend>
      <c:legendPos val="b"/>
      <c:layout/>
    </c:legend>
    <c:plotVisOnly val="1"/>
  </c:chart>
  <c:spPr>
    <a:ln>
      <a:solidFill>
        <a:srgbClr val="B3A2C7"/>
      </a:solidFill>
    </a:ln>
  </c:spPr>
  <c:txPr>
    <a:bodyPr/>
    <a:lstStyle/>
    <a:p>
      <a:pPr>
        <a:defRPr>
          <a:latin typeface="Verdana" pitchFamily="34" charset="0"/>
          <a:ea typeface="Verdana" pitchFamily="34" charset="0"/>
        </a:defRPr>
      </a:pPr>
      <a:endParaRPr lang="es-E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sz="1100">
                <a:solidFill>
                  <a:srgbClr val="7030A0"/>
                </a:solidFill>
              </a:rPr>
              <a:t>Hogares</a:t>
            </a:r>
            <a:r>
              <a:rPr lang="es-ES" sz="1100" baseline="0">
                <a:solidFill>
                  <a:srgbClr val="7030A0"/>
                </a:solidFill>
              </a:rPr>
              <a:t> que no pueden permitirse una serie de conceptos. España</a:t>
            </a:r>
            <a:endParaRPr lang="es-ES" sz="1100">
              <a:solidFill>
                <a:srgbClr val="7030A0"/>
              </a:solidFill>
            </a:endParaRPr>
          </a:p>
        </c:rich>
      </c:tx>
      <c:layout/>
    </c:title>
    <c:plotArea>
      <c:layout/>
      <c:barChart>
        <c:barDir val="bar"/>
        <c:grouping val="clustered"/>
        <c:ser>
          <c:idx val="0"/>
          <c:order val="0"/>
          <c:tx>
            <c:strRef>
              <c:f>Hoja1!$B$1</c:f>
              <c:strCache>
                <c:ptCount val="1"/>
                <c:pt idx="0">
                  <c:v>2010</c:v>
                </c:pt>
              </c:strCache>
            </c:strRef>
          </c:tx>
          <c:spPr>
            <a:solidFill>
              <a:srgbClr val="993366"/>
            </a:solidFill>
          </c:spPr>
          <c:dLbls>
            <c:dLbl>
              <c:idx val="0"/>
              <c:layout>
                <c:manualLayout>
                  <c:x val="-1.4127776655054202E-2"/>
                  <c:y val="-3.3922172386603795E-3"/>
                </c:manualLayout>
              </c:layout>
              <c:showVal val="1"/>
            </c:dLbl>
            <c:numFmt formatCode="#,##0.0" sourceLinked="0"/>
            <c:showVal val="1"/>
          </c:dLbls>
          <c:cat>
            <c:strRef>
              <c:f>Hoja1!$A$2:$A$6</c:f>
              <c:strCache>
                <c:ptCount val="5"/>
                <c:pt idx="0">
                  <c:v>Vacaciones 1 semana al año</c:v>
                </c:pt>
                <c:pt idx="1">
                  <c:v>Comida carne o pescado cada 2 días</c:v>
                </c:pt>
                <c:pt idx="2">
                  <c:v>Vivienda temperatura adecuada</c:v>
                </c:pt>
                <c:pt idx="3">
                  <c:v>Afrontar gastos imprevistos</c:v>
                </c:pt>
                <c:pt idx="4">
                  <c:v>Retrasos en el pago de gastos relacionados con la vivienda</c:v>
                </c:pt>
              </c:strCache>
            </c:strRef>
          </c:cat>
          <c:val>
            <c:numRef>
              <c:f>Hoja1!$B$2:$B$6</c:f>
              <c:numCache>
                <c:formatCode>General</c:formatCode>
                <c:ptCount val="5"/>
                <c:pt idx="0">
                  <c:v>40.800000000000011</c:v>
                </c:pt>
                <c:pt idx="1">
                  <c:v>2.8</c:v>
                </c:pt>
                <c:pt idx="2">
                  <c:v>7.5</c:v>
                </c:pt>
                <c:pt idx="3">
                  <c:v>38.5</c:v>
                </c:pt>
                <c:pt idx="4">
                  <c:v>8.7000000000000011</c:v>
                </c:pt>
              </c:numCache>
            </c:numRef>
          </c:val>
        </c:ser>
        <c:ser>
          <c:idx val="1"/>
          <c:order val="1"/>
          <c:tx>
            <c:strRef>
              <c:f>Hoja1!$C$1</c:f>
              <c:strCache>
                <c:ptCount val="1"/>
                <c:pt idx="0">
                  <c:v>2020</c:v>
                </c:pt>
              </c:strCache>
            </c:strRef>
          </c:tx>
          <c:spPr>
            <a:solidFill>
              <a:srgbClr val="CCCC00"/>
            </a:solidFill>
          </c:spPr>
          <c:dLbls>
            <c:dLbl>
              <c:idx val="3"/>
              <c:layout>
                <c:manualLayout>
                  <c:x val="-1.4111006585136398E-2"/>
                  <c:y val="-5.4421768707482955E-3"/>
                </c:manualLayout>
              </c:layout>
              <c:showVal val="1"/>
            </c:dLbl>
            <c:showVal val="1"/>
          </c:dLbls>
          <c:cat>
            <c:strRef>
              <c:f>Hoja1!$A$2:$A$6</c:f>
              <c:strCache>
                <c:ptCount val="5"/>
                <c:pt idx="0">
                  <c:v>Vacaciones 1 semana al año</c:v>
                </c:pt>
                <c:pt idx="1">
                  <c:v>Comida carne o pescado cada 2 días</c:v>
                </c:pt>
                <c:pt idx="2">
                  <c:v>Vivienda temperatura adecuada</c:v>
                </c:pt>
                <c:pt idx="3">
                  <c:v>Afrontar gastos imprevistos</c:v>
                </c:pt>
                <c:pt idx="4">
                  <c:v>Retrasos en el pago de gastos relacionados con la vivienda</c:v>
                </c:pt>
              </c:strCache>
            </c:strRef>
          </c:cat>
          <c:val>
            <c:numRef>
              <c:f>Hoja1!$C$2:$C$6</c:f>
              <c:numCache>
                <c:formatCode>General</c:formatCode>
                <c:ptCount val="5"/>
                <c:pt idx="0">
                  <c:v>33.800000000000011</c:v>
                </c:pt>
                <c:pt idx="1">
                  <c:v>5.5</c:v>
                </c:pt>
                <c:pt idx="2">
                  <c:v>11.1</c:v>
                </c:pt>
                <c:pt idx="3">
                  <c:v>35.4</c:v>
                </c:pt>
                <c:pt idx="4">
                  <c:v>10.7</c:v>
                </c:pt>
              </c:numCache>
            </c:numRef>
          </c:val>
        </c:ser>
        <c:dLbls>
          <c:showVal val="1"/>
        </c:dLbls>
        <c:axId val="102181888"/>
        <c:axId val="102191872"/>
      </c:barChart>
      <c:catAx>
        <c:axId val="102181888"/>
        <c:scaling>
          <c:orientation val="minMax"/>
        </c:scaling>
        <c:axPos val="l"/>
        <c:tickLblPos val="nextTo"/>
        <c:spPr>
          <a:ln>
            <a:solidFill>
              <a:srgbClr val="B3A2C7"/>
            </a:solidFill>
          </a:ln>
        </c:spPr>
        <c:crossAx val="102191872"/>
        <c:crosses val="autoZero"/>
        <c:auto val="1"/>
        <c:lblAlgn val="ctr"/>
        <c:lblOffset val="100"/>
      </c:catAx>
      <c:valAx>
        <c:axId val="102191872"/>
        <c:scaling>
          <c:orientation val="minMax"/>
          <c:max val="45"/>
          <c:min val="0"/>
        </c:scaling>
        <c:axPos val="b"/>
        <c:numFmt formatCode="General" sourceLinked="1"/>
        <c:tickLblPos val="nextTo"/>
        <c:spPr>
          <a:ln>
            <a:solidFill>
              <a:srgbClr val="B3A2C7"/>
            </a:solidFill>
          </a:ln>
        </c:spPr>
        <c:crossAx val="102181888"/>
        <c:crosses val="autoZero"/>
        <c:crossBetween val="between"/>
        <c:majorUnit val="5"/>
      </c:valAx>
      <c:spPr>
        <a:ln>
          <a:solidFill>
            <a:srgbClr val="B3A2C7"/>
          </a:solidFill>
        </a:ln>
      </c:spPr>
    </c:plotArea>
    <c:legend>
      <c:legendPos val="b"/>
      <c:layout/>
    </c:legend>
    <c:plotVisOnly val="1"/>
  </c:chart>
  <c:spPr>
    <a:ln>
      <a:solidFill>
        <a:srgbClr val="B3A2C7"/>
      </a:solidFill>
    </a:ln>
  </c:spPr>
  <c:txPr>
    <a:bodyPr/>
    <a:lstStyle/>
    <a:p>
      <a:pPr>
        <a:defRPr>
          <a:latin typeface="Verdana" pitchFamily="34" charset="0"/>
          <a:ea typeface="Verdana" pitchFamily="34" charset="0"/>
        </a:defRPr>
      </a:pPr>
      <a:endParaRPr lang="es-E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s-ES" sz="1100">
                <a:solidFill>
                  <a:srgbClr val="7030A0"/>
                </a:solidFill>
              </a:rPr>
              <a:t>% hogare</a:t>
            </a:r>
            <a:r>
              <a:rPr lang="es-ES" sz="1100" baseline="0">
                <a:solidFill>
                  <a:srgbClr val="7030A0"/>
                </a:solidFill>
              </a:rPr>
              <a:t>s que llegan con mucha dificultad a fin de mes por CCAA. 2020</a:t>
            </a:r>
            <a:endParaRPr lang="es-ES" sz="1100">
              <a:solidFill>
                <a:srgbClr val="7030A0"/>
              </a:solidFill>
            </a:endParaRPr>
          </a:p>
        </c:rich>
      </c:tx>
      <c:layout/>
    </c:title>
    <c:plotArea>
      <c:layout>
        <c:manualLayout>
          <c:layoutTarget val="inner"/>
          <c:xMode val="edge"/>
          <c:yMode val="edge"/>
          <c:x val="0.27214039155265851"/>
          <c:y val="0.11330909090909085"/>
          <c:w val="0.69174135747143495"/>
          <c:h val="0.80769897399189572"/>
        </c:manualLayout>
      </c:layout>
      <c:barChart>
        <c:barDir val="bar"/>
        <c:grouping val="clustered"/>
        <c:ser>
          <c:idx val="0"/>
          <c:order val="0"/>
          <c:tx>
            <c:strRef>
              <c:f>Hoja1!$B$1</c:f>
              <c:strCache>
                <c:ptCount val="1"/>
                <c:pt idx="0">
                  <c:v>Serie 1</c:v>
                </c:pt>
              </c:strCache>
            </c:strRef>
          </c:tx>
          <c:spPr>
            <a:solidFill>
              <a:srgbClr val="993366"/>
            </a:solidFill>
          </c:spPr>
          <c:dPt>
            <c:idx val="9"/>
            <c:spPr>
              <a:solidFill>
                <a:srgbClr val="CCCC00"/>
              </a:solidFill>
            </c:spPr>
          </c:dPt>
          <c:dPt>
            <c:idx val="10"/>
            <c:spPr>
              <a:solidFill>
                <a:srgbClr val="993366"/>
              </a:solidFill>
            </c:spPr>
          </c:dPt>
          <c:dPt>
            <c:idx val="12"/>
            <c:spPr>
              <a:solidFill>
                <a:srgbClr val="993366"/>
              </a:solidFill>
            </c:spPr>
          </c:dPt>
          <c:dPt>
            <c:idx val="13"/>
            <c:spPr>
              <a:solidFill>
                <a:srgbClr val="CCCC00"/>
              </a:solidFill>
            </c:spPr>
          </c:dPt>
          <c:dLbls>
            <c:dLbl>
              <c:idx val="9"/>
              <c:numFmt formatCode="#,##0.0" sourceLinked="0"/>
              <c:spPr/>
              <c:txPr>
                <a:bodyPr/>
                <a:lstStyle/>
                <a:p>
                  <a:pPr>
                    <a:defRPr b="1"/>
                  </a:pPr>
                  <a:endParaRPr lang="es-ES"/>
                </a:p>
              </c:txPr>
            </c:dLbl>
            <c:dLbl>
              <c:idx val="10"/>
              <c:numFmt formatCode="#,##0.0" sourceLinked="0"/>
              <c:spPr/>
              <c:txPr>
                <a:bodyPr/>
                <a:lstStyle/>
                <a:p>
                  <a:pPr>
                    <a:defRPr b="0"/>
                  </a:pPr>
                  <a:endParaRPr lang="es-ES"/>
                </a:p>
              </c:txPr>
            </c:dLbl>
            <c:dLbl>
              <c:idx val="12"/>
              <c:numFmt formatCode="#,##0.0" sourceLinked="0"/>
              <c:spPr/>
              <c:txPr>
                <a:bodyPr/>
                <a:lstStyle/>
                <a:p>
                  <a:pPr>
                    <a:defRPr b="0"/>
                  </a:pPr>
                  <a:endParaRPr lang="es-ES"/>
                </a:p>
              </c:txPr>
            </c:dLbl>
            <c:dLbl>
              <c:idx val="13"/>
              <c:numFmt formatCode="#,##0.0" sourceLinked="0"/>
              <c:spPr/>
              <c:txPr>
                <a:bodyPr/>
                <a:lstStyle/>
                <a:p>
                  <a:pPr>
                    <a:defRPr b="1"/>
                  </a:pPr>
                  <a:endParaRPr lang="es-ES"/>
                </a:p>
              </c:txPr>
            </c:dLbl>
            <c:numFmt formatCode="#,##0.0" sourceLinked="0"/>
            <c:txPr>
              <a:bodyPr/>
              <a:lstStyle/>
              <a:p>
                <a:pPr>
                  <a:defRPr b="0"/>
                </a:pPr>
                <a:endParaRPr lang="es-ES"/>
              </a:p>
            </c:txPr>
            <c:dLblPos val="outEnd"/>
            <c:showVal val="1"/>
          </c:dLbls>
          <c:cat>
            <c:strRef>
              <c:f>Hoja1!$A$2:$A$19</c:f>
              <c:strCache>
                <c:ptCount val="18"/>
                <c:pt idx="0">
                  <c:v>Aragón</c:v>
                </c:pt>
                <c:pt idx="1">
                  <c:v>Navarra</c:v>
                </c:pt>
                <c:pt idx="2">
                  <c:v>País Vasco</c:v>
                </c:pt>
                <c:pt idx="3">
                  <c:v>La Rioja</c:v>
                </c:pt>
                <c:pt idx="4">
                  <c:v>Galicia</c:v>
                </c:pt>
                <c:pt idx="5">
                  <c:v>Cantabria</c:v>
                </c:pt>
                <c:pt idx="6">
                  <c:v>Castilla La Mancha</c:v>
                </c:pt>
                <c:pt idx="7">
                  <c:v>Madrid</c:v>
                </c:pt>
                <c:pt idx="8">
                  <c:v>Castilla y León</c:v>
                </c:pt>
                <c:pt idx="9">
                  <c:v>Asturias</c:v>
                </c:pt>
                <c:pt idx="10">
                  <c:v>Baleares</c:v>
                </c:pt>
                <c:pt idx="11">
                  <c:v>Cataluña</c:v>
                </c:pt>
                <c:pt idx="12">
                  <c:v>C. Valenciana</c:v>
                </c:pt>
                <c:pt idx="13">
                  <c:v>España</c:v>
                </c:pt>
                <c:pt idx="14">
                  <c:v>Murcia</c:v>
                </c:pt>
                <c:pt idx="15">
                  <c:v>Extremadura</c:v>
                </c:pt>
                <c:pt idx="16">
                  <c:v>Andalucía</c:v>
                </c:pt>
                <c:pt idx="17">
                  <c:v>Canarias</c:v>
                </c:pt>
              </c:strCache>
            </c:strRef>
          </c:cat>
          <c:val>
            <c:numRef>
              <c:f>Hoja1!$B$2:$B$19</c:f>
              <c:numCache>
                <c:formatCode>General</c:formatCode>
                <c:ptCount val="18"/>
                <c:pt idx="0">
                  <c:v>4.8</c:v>
                </c:pt>
                <c:pt idx="1">
                  <c:v>5.4</c:v>
                </c:pt>
                <c:pt idx="2">
                  <c:v>5.7</c:v>
                </c:pt>
                <c:pt idx="3">
                  <c:v>6</c:v>
                </c:pt>
                <c:pt idx="4">
                  <c:v>6.6</c:v>
                </c:pt>
                <c:pt idx="5">
                  <c:v>7</c:v>
                </c:pt>
                <c:pt idx="6">
                  <c:v>7.2</c:v>
                </c:pt>
                <c:pt idx="7">
                  <c:v>7.6</c:v>
                </c:pt>
                <c:pt idx="8">
                  <c:v>8.6999999999999993</c:v>
                </c:pt>
                <c:pt idx="9">
                  <c:v>9.5</c:v>
                </c:pt>
                <c:pt idx="10">
                  <c:v>9.8000000000000007</c:v>
                </c:pt>
                <c:pt idx="11">
                  <c:v>9.9</c:v>
                </c:pt>
                <c:pt idx="12">
                  <c:v>10</c:v>
                </c:pt>
                <c:pt idx="13">
                  <c:v>10</c:v>
                </c:pt>
                <c:pt idx="14">
                  <c:v>11</c:v>
                </c:pt>
                <c:pt idx="15">
                  <c:v>11.1</c:v>
                </c:pt>
                <c:pt idx="16">
                  <c:v>14.9</c:v>
                </c:pt>
                <c:pt idx="17">
                  <c:v>17.600000000000001</c:v>
                </c:pt>
              </c:numCache>
            </c:numRef>
          </c:val>
        </c:ser>
        <c:dLbls>
          <c:showVal val="1"/>
        </c:dLbls>
        <c:axId val="102286848"/>
        <c:axId val="102288384"/>
      </c:barChart>
      <c:catAx>
        <c:axId val="102286848"/>
        <c:scaling>
          <c:orientation val="minMax"/>
        </c:scaling>
        <c:axPos val="l"/>
        <c:tickLblPos val="nextTo"/>
        <c:spPr>
          <a:ln>
            <a:solidFill>
              <a:srgbClr val="8064A2">
                <a:lumMod val="75000"/>
              </a:srgbClr>
            </a:solidFill>
          </a:ln>
        </c:spPr>
        <c:crossAx val="102288384"/>
        <c:crosses val="autoZero"/>
        <c:auto val="1"/>
        <c:lblAlgn val="ctr"/>
        <c:lblOffset val="100"/>
      </c:catAx>
      <c:valAx>
        <c:axId val="102288384"/>
        <c:scaling>
          <c:orientation val="minMax"/>
          <c:max val="24"/>
          <c:min val="0"/>
        </c:scaling>
        <c:axPos val="b"/>
        <c:numFmt formatCode="General" sourceLinked="1"/>
        <c:tickLblPos val="nextTo"/>
        <c:spPr>
          <a:ln>
            <a:solidFill>
              <a:srgbClr val="8064A2">
                <a:lumMod val="75000"/>
              </a:srgbClr>
            </a:solidFill>
          </a:ln>
        </c:spPr>
        <c:crossAx val="102286848"/>
        <c:crosses val="autoZero"/>
        <c:crossBetween val="between"/>
        <c:majorUnit val="4"/>
      </c:valAx>
      <c:spPr>
        <a:ln>
          <a:solidFill>
            <a:srgbClr val="8064A2">
              <a:lumMod val="75000"/>
            </a:srgbClr>
          </a:solidFill>
        </a:ln>
      </c:spPr>
    </c:plotArea>
    <c:plotVisOnly val="1"/>
  </c:chart>
  <c:spPr>
    <a:ln>
      <a:solidFill>
        <a:srgbClr val="8064A2">
          <a:lumMod val="75000"/>
        </a:srgbClr>
      </a:solidFill>
    </a:ln>
  </c:spPr>
  <c:txPr>
    <a:bodyPr/>
    <a:lstStyle/>
    <a:p>
      <a:pPr>
        <a:defRPr>
          <a:latin typeface="Verdana" pitchFamily="34" charset="0"/>
          <a:ea typeface="Verdana" pitchFamily="34" charset="0"/>
        </a:defRPr>
      </a:pPr>
      <a:endParaRPr lang="es-E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s-ES" sz="1100">
                <a:solidFill>
                  <a:srgbClr val="7030A0"/>
                </a:solidFill>
              </a:rPr>
              <a:t>% hogare</a:t>
            </a:r>
            <a:r>
              <a:rPr lang="es-ES" sz="1100" baseline="0">
                <a:solidFill>
                  <a:srgbClr val="7030A0"/>
                </a:solidFill>
              </a:rPr>
              <a:t>s que llegan con dificultad a fin de mes por CCAA. 2020</a:t>
            </a:r>
            <a:endParaRPr lang="es-ES" sz="1100">
              <a:solidFill>
                <a:srgbClr val="7030A0"/>
              </a:solidFill>
            </a:endParaRPr>
          </a:p>
        </c:rich>
      </c:tx>
      <c:layout/>
    </c:title>
    <c:plotArea>
      <c:layout>
        <c:manualLayout>
          <c:layoutTarget val="inner"/>
          <c:xMode val="edge"/>
          <c:yMode val="edge"/>
          <c:x val="0.27214039155265862"/>
          <c:y val="0.11330909090909085"/>
          <c:w val="0.69174135747143528"/>
          <c:h val="0.80769897399189594"/>
        </c:manualLayout>
      </c:layout>
      <c:barChart>
        <c:barDir val="bar"/>
        <c:grouping val="clustered"/>
        <c:ser>
          <c:idx val="0"/>
          <c:order val="0"/>
          <c:tx>
            <c:strRef>
              <c:f>Hoja1!$B$1</c:f>
              <c:strCache>
                <c:ptCount val="1"/>
                <c:pt idx="0">
                  <c:v>Serie 1</c:v>
                </c:pt>
              </c:strCache>
            </c:strRef>
          </c:tx>
          <c:spPr>
            <a:solidFill>
              <a:srgbClr val="993366"/>
            </a:solidFill>
          </c:spPr>
          <c:dPt>
            <c:idx val="3"/>
            <c:spPr>
              <a:solidFill>
                <a:srgbClr val="CCCC00"/>
              </a:solidFill>
            </c:spPr>
          </c:dPt>
          <c:dPt>
            <c:idx val="8"/>
            <c:spPr>
              <a:solidFill>
                <a:srgbClr val="CCCC00"/>
              </a:solidFill>
            </c:spPr>
          </c:dPt>
          <c:dPt>
            <c:idx val="11"/>
            <c:spPr>
              <a:solidFill>
                <a:srgbClr val="993366"/>
              </a:solidFill>
            </c:spPr>
          </c:dPt>
          <c:dPt>
            <c:idx val="12"/>
            <c:spPr>
              <a:solidFill>
                <a:srgbClr val="993366"/>
              </a:solidFill>
            </c:spPr>
          </c:dPt>
          <c:dLbls>
            <c:dLbl>
              <c:idx val="3"/>
              <c:numFmt formatCode="#,##0.0" sourceLinked="0"/>
              <c:spPr/>
              <c:txPr>
                <a:bodyPr/>
                <a:lstStyle/>
                <a:p>
                  <a:pPr>
                    <a:defRPr b="1"/>
                  </a:pPr>
                  <a:endParaRPr lang="es-ES"/>
                </a:p>
              </c:txPr>
            </c:dLbl>
            <c:dLbl>
              <c:idx val="8"/>
              <c:numFmt formatCode="#,##0.0" sourceLinked="0"/>
              <c:spPr/>
              <c:txPr>
                <a:bodyPr/>
                <a:lstStyle/>
                <a:p>
                  <a:pPr>
                    <a:defRPr b="1"/>
                  </a:pPr>
                  <a:endParaRPr lang="es-ES"/>
                </a:p>
              </c:txPr>
            </c:dLbl>
            <c:dLbl>
              <c:idx val="10"/>
              <c:numFmt formatCode="#,##0.0" sourceLinked="0"/>
              <c:spPr/>
              <c:txPr>
                <a:bodyPr/>
                <a:lstStyle/>
                <a:p>
                  <a:pPr>
                    <a:defRPr b="0"/>
                  </a:pPr>
                  <a:endParaRPr lang="es-ES"/>
                </a:p>
              </c:txPr>
            </c:dLbl>
            <c:dLbl>
              <c:idx val="11"/>
              <c:numFmt formatCode="#,##0.0" sourceLinked="0"/>
              <c:spPr/>
              <c:txPr>
                <a:bodyPr/>
                <a:lstStyle/>
                <a:p>
                  <a:pPr>
                    <a:defRPr b="0"/>
                  </a:pPr>
                  <a:endParaRPr lang="es-ES"/>
                </a:p>
              </c:txPr>
            </c:dLbl>
            <c:dLbl>
              <c:idx val="12"/>
              <c:numFmt formatCode="#,##0.0" sourceLinked="0"/>
              <c:spPr/>
              <c:txPr>
                <a:bodyPr/>
                <a:lstStyle/>
                <a:p>
                  <a:pPr>
                    <a:defRPr b="0"/>
                  </a:pPr>
                  <a:endParaRPr lang="es-ES"/>
                </a:p>
              </c:txPr>
            </c:dLbl>
            <c:numFmt formatCode="#,##0.0" sourceLinked="0"/>
            <c:dLblPos val="outEnd"/>
            <c:showVal val="1"/>
          </c:dLbls>
          <c:cat>
            <c:strRef>
              <c:f>Hoja1!$A$2:$A$19</c:f>
              <c:strCache>
                <c:ptCount val="18"/>
                <c:pt idx="0">
                  <c:v>Aragón</c:v>
                </c:pt>
                <c:pt idx="1">
                  <c:v>La Rioja</c:v>
                </c:pt>
                <c:pt idx="2">
                  <c:v>Castilla y León</c:v>
                </c:pt>
                <c:pt idx="3">
                  <c:v>Asturias</c:v>
                </c:pt>
                <c:pt idx="4">
                  <c:v>Galicia</c:v>
                </c:pt>
                <c:pt idx="5">
                  <c:v>País Vasco</c:v>
                </c:pt>
                <c:pt idx="6">
                  <c:v>C. Valenciana</c:v>
                </c:pt>
                <c:pt idx="7">
                  <c:v>Madrid</c:v>
                </c:pt>
                <c:pt idx="8">
                  <c:v>España</c:v>
                </c:pt>
                <c:pt idx="9">
                  <c:v>Navarra</c:v>
                </c:pt>
                <c:pt idx="10">
                  <c:v>Cataluña</c:v>
                </c:pt>
                <c:pt idx="11">
                  <c:v>Cantabria</c:v>
                </c:pt>
                <c:pt idx="12">
                  <c:v>Castilla La Mancha</c:v>
                </c:pt>
                <c:pt idx="13">
                  <c:v>Baleares</c:v>
                </c:pt>
                <c:pt idx="14">
                  <c:v>Extremadura</c:v>
                </c:pt>
                <c:pt idx="15">
                  <c:v>Murcia</c:v>
                </c:pt>
                <c:pt idx="16">
                  <c:v>Andalucía</c:v>
                </c:pt>
                <c:pt idx="17">
                  <c:v>Canarias</c:v>
                </c:pt>
              </c:strCache>
            </c:strRef>
          </c:cat>
          <c:val>
            <c:numRef>
              <c:f>Hoja1!$B$2:$B$19</c:f>
              <c:numCache>
                <c:formatCode>General</c:formatCode>
                <c:ptCount val="18"/>
                <c:pt idx="0">
                  <c:v>6.3</c:v>
                </c:pt>
                <c:pt idx="1">
                  <c:v>7.2</c:v>
                </c:pt>
                <c:pt idx="2">
                  <c:v>7.5</c:v>
                </c:pt>
                <c:pt idx="3">
                  <c:v>8.3000000000000007</c:v>
                </c:pt>
                <c:pt idx="4">
                  <c:v>8.4</c:v>
                </c:pt>
                <c:pt idx="5">
                  <c:v>8.9</c:v>
                </c:pt>
                <c:pt idx="6">
                  <c:v>10.9</c:v>
                </c:pt>
                <c:pt idx="7">
                  <c:v>11</c:v>
                </c:pt>
                <c:pt idx="8">
                  <c:v>12.1</c:v>
                </c:pt>
                <c:pt idx="9">
                  <c:v>12.1</c:v>
                </c:pt>
                <c:pt idx="10">
                  <c:v>12.3</c:v>
                </c:pt>
                <c:pt idx="11">
                  <c:v>13.3</c:v>
                </c:pt>
                <c:pt idx="12">
                  <c:v>13.7</c:v>
                </c:pt>
                <c:pt idx="13">
                  <c:v>14.6</c:v>
                </c:pt>
                <c:pt idx="14">
                  <c:v>14.9</c:v>
                </c:pt>
                <c:pt idx="15">
                  <c:v>15.3</c:v>
                </c:pt>
                <c:pt idx="16">
                  <c:v>15.9</c:v>
                </c:pt>
                <c:pt idx="17">
                  <c:v>16.2</c:v>
                </c:pt>
              </c:numCache>
            </c:numRef>
          </c:val>
        </c:ser>
        <c:dLbls>
          <c:showVal val="1"/>
        </c:dLbls>
        <c:axId val="102359808"/>
        <c:axId val="102361344"/>
      </c:barChart>
      <c:catAx>
        <c:axId val="102359808"/>
        <c:scaling>
          <c:orientation val="minMax"/>
        </c:scaling>
        <c:axPos val="l"/>
        <c:tickLblPos val="nextTo"/>
        <c:spPr>
          <a:ln>
            <a:solidFill>
              <a:srgbClr val="8064A2">
                <a:lumMod val="75000"/>
              </a:srgbClr>
            </a:solidFill>
          </a:ln>
        </c:spPr>
        <c:crossAx val="102361344"/>
        <c:crosses val="autoZero"/>
        <c:auto val="1"/>
        <c:lblAlgn val="ctr"/>
        <c:lblOffset val="100"/>
      </c:catAx>
      <c:valAx>
        <c:axId val="102361344"/>
        <c:scaling>
          <c:orientation val="minMax"/>
          <c:max val="24"/>
          <c:min val="0"/>
        </c:scaling>
        <c:axPos val="b"/>
        <c:numFmt formatCode="General" sourceLinked="1"/>
        <c:tickLblPos val="nextTo"/>
        <c:spPr>
          <a:ln>
            <a:solidFill>
              <a:srgbClr val="8064A2">
                <a:lumMod val="75000"/>
              </a:srgbClr>
            </a:solidFill>
          </a:ln>
        </c:spPr>
        <c:crossAx val="102359808"/>
        <c:crosses val="autoZero"/>
        <c:crossBetween val="between"/>
        <c:majorUnit val="4"/>
      </c:valAx>
      <c:spPr>
        <a:ln>
          <a:solidFill>
            <a:srgbClr val="8064A2">
              <a:lumMod val="75000"/>
            </a:srgbClr>
          </a:solidFill>
        </a:ln>
      </c:spPr>
    </c:plotArea>
    <c:plotVisOnly val="1"/>
  </c:chart>
  <c:spPr>
    <a:ln>
      <a:solidFill>
        <a:srgbClr val="8064A2">
          <a:lumMod val="75000"/>
        </a:srgbClr>
      </a:solidFill>
    </a:ln>
  </c:spPr>
  <c:txPr>
    <a:bodyPr/>
    <a:lstStyle/>
    <a:p>
      <a:pPr>
        <a:defRPr>
          <a:latin typeface="Verdana" pitchFamily="34" charset="0"/>
          <a:ea typeface="Verdana" pitchFamily="34" charset="0"/>
        </a:defRPr>
      </a:pPr>
      <a:endParaRPr lang="es-E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s-ES" sz="1200">
                <a:solidFill>
                  <a:srgbClr val="7030A0"/>
                </a:solidFill>
              </a:rPr>
              <a:t>Renta neta media por </a:t>
            </a:r>
            <a:r>
              <a:rPr lang="es-ES" sz="1100">
                <a:solidFill>
                  <a:srgbClr val="7030A0"/>
                </a:solidFill>
              </a:rPr>
              <a:t>hogar</a:t>
            </a:r>
          </a:p>
        </c:rich>
      </c:tx>
      <c:layout/>
    </c:title>
    <c:plotArea>
      <c:layout>
        <c:manualLayout>
          <c:layoutTarget val="inner"/>
          <c:xMode val="edge"/>
          <c:yMode val="edge"/>
          <c:x val="5.2297405913691683E-2"/>
          <c:y val="0.18231438782329332"/>
          <c:w val="0.92153553976484648"/>
          <c:h val="0.44324108932877854"/>
        </c:manualLayout>
      </c:layout>
      <c:lineChart>
        <c:grouping val="standard"/>
        <c:ser>
          <c:idx val="0"/>
          <c:order val="0"/>
          <c:tx>
            <c:strRef>
              <c:f>Hoja1!$B$1</c:f>
              <c:strCache>
                <c:ptCount val="1"/>
                <c:pt idx="0">
                  <c:v>Asturias</c:v>
                </c:pt>
              </c:strCache>
            </c:strRef>
          </c:tx>
          <c:marker>
            <c:symbol val="none"/>
          </c:marker>
          <c:dLbls>
            <c:dLbl>
              <c:idx val="0"/>
              <c:layout>
                <c:manualLayout>
                  <c:x val="-9.4971843866500066E-2"/>
                  <c:y val="-2.1488697312045491E-2"/>
                </c:manualLayout>
              </c:layout>
              <c:dLblPos val="r"/>
              <c:showVal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0"/>
                  <c:y val="0.15287254222373495"/>
                </c:manualLayout>
              </c:layout>
              <c:dLblPos val="t"/>
              <c:showVal val="1"/>
            </c:dLbl>
            <c:dLblPos val="t"/>
            <c:showVal val="1"/>
          </c:dLbls>
          <c:cat>
            <c:strRef>
              <c:f>Hoja1!$A$2:$A$14</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strCache>
            </c:strRef>
          </c:cat>
          <c:val>
            <c:numRef>
              <c:f>Hoja1!$B$2:$B$14</c:f>
              <c:numCache>
                <c:formatCode>#,##0</c:formatCode>
                <c:ptCount val="13"/>
                <c:pt idx="0">
                  <c:v>29473</c:v>
                </c:pt>
                <c:pt idx="1">
                  <c:v>30881</c:v>
                </c:pt>
                <c:pt idx="2">
                  <c:v>30226</c:v>
                </c:pt>
                <c:pt idx="3">
                  <c:v>27817</c:v>
                </c:pt>
                <c:pt idx="4">
                  <c:v>27364</c:v>
                </c:pt>
                <c:pt idx="5">
                  <c:v>25704</c:v>
                </c:pt>
                <c:pt idx="6">
                  <c:v>25623</c:v>
                </c:pt>
                <c:pt idx="7">
                  <c:v>25909</c:v>
                </c:pt>
                <c:pt idx="8">
                  <c:v>27020</c:v>
                </c:pt>
                <c:pt idx="9">
                  <c:v>27454</c:v>
                </c:pt>
                <c:pt idx="10">
                  <c:v>27069</c:v>
                </c:pt>
                <c:pt idx="11">
                  <c:v>27897</c:v>
                </c:pt>
                <c:pt idx="12">
                  <c:v>28284</c:v>
                </c:pt>
              </c:numCache>
            </c:numRef>
          </c:val>
        </c:ser>
        <c:ser>
          <c:idx val="1"/>
          <c:order val="1"/>
          <c:tx>
            <c:strRef>
              <c:f>Hoja1!$C$1</c:f>
              <c:strCache>
                <c:ptCount val="1"/>
                <c:pt idx="0">
                  <c:v>España</c:v>
                </c:pt>
              </c:strCache>
            </c:strRef>
          </c:tx>
          <c:marker>
            <c:symbol val="none"/>
          </c:marker>
          <c:dLbls>
            <c:dLbl>
              <c:idx val="0"/>
              <c:layout>
                <c:manualLayout>
                  <c:x val="-5.1517259529550677E-2"/>
                  <c:y val="4.7026594000473189E-2"/>
                </c:manualLayout>
              </c:layout>
              <c:dLblPos val="r"/>
              <c:showVal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2.8906955736224028E-2"/>
                  <c:y val="7.9072219293621501E-2"/>
                </c:manualLayout>
              </c:layout>
              <c:dLblPos val="t"/>
              <c:showVal val="1"/>
            </c:dLbl>
            <c:dLblPos val="t"/>
            <c:showVal val="1"/>
          </c:dLbls>
          <c:cat>
            <c:strRef>
              <c:f>Hoja1!$A$2:$A$14</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strCache>
            </c:strRef>
          </c:cat>
          <c:val>
            <c:numRef>
              <c:f>Hoja1!$C$2:$C$14</c:f>
              <c:numCache>
                <c:formatCode>#,##0</c:formatCode>
                <c:ptCount val="13"/>
                <c:pt idx="0">
                  <c:v>28787</c:v>
                </c:pt>
                <c:pt idx="1">
                  <c:v>30045</c:v>
                </c:pt>
                <c:pt idx="2">
                  <c:v>29634</c:v>
                </c:pt>
                <c:pt idx="3">
                  <c:v>28206</c:v>
                </c:pt>
                <c:pt idx="4">
                  <c:v>27747</c:v>
                </c:pt>
                <c:pt idx="5">
                  <c:v>26775</c:v>
                </c:pt>
                <c:pt idx="6">
                  <c:v>26154</c:v>
                </c:pt>
                <c:pt idx="7">
                  <c:v>26092</c:v>
                </c:pt>
                <c:pt idx="8">
                  <c:v>26730</c:v>
                </c:pt>
                <c:pt idx="9">
                  <c:v>27558</c:v>
                </c:pt>
                <c:pt idx="10">
                  <c:v>28417</c:v>
                </c:pt>
                <c:pt idx="11">
                  <c:v>29132</c:v>
                </c:pt>
                <c:pt idx="12">
                  <c:v>30690</c:v>
                </c:pt>
              </c:numCache>
            </c:numRef>
          </c:val>
        </c:ser>
        <c:dLbls>
          <c:showVal val="1"/>
        </c:dLbls>
        <c:marker val="1"/>
        <c:axId val="102398592"/>
        <c:axId val="102420864"/>
      </c:lineChart>
      <c:catAx>
        <c:axId val="102398592"/>
        <c:scaling>
          <c:orientation val="minMax"/>
        </c:scaling>
        <c:axPos val="b"/>
        <c:tickLblPos val="nextTo"/>
        <c:spPr>
          <a:ln>
            <a:solidFill>
              <a:srgbClr val="8064A2">
                <a:lumMod val="60000"/>
                <a:lumOff val="40000"/>
              </a:srgbClr>
            </a:solidFill>
          </a:ln>
        </c:spPr>
        <c:crossAx val="102420864"/>
        <c:crosses val="autoZero"/>
        <c:auto val="1"/>
        <c:lblAlgn val="ctr"/>
        <c:lblOffset val="100"/>
      </c:catAx>
      <c:valAx>
        <c:axId val="102420864"/>
        <c:scaling>
          <c:orientation val="minMax"/>
          <c:max val="31000"/>
          <c:min val="25000"/>
        </c:scaling>
        <c:delete val="1"/>
        <c:axPos val="l"/>
        <c:numFmt formatCode="#,##0" sourceLinked="1"/>
        <c:tickLblPos val="nextTo"/>
        <c:crossAx val="102398592"/>
        <c:crosses val="autoZero"/>
        <c:crossBetween val="between"/>
      </c:valAx>
      <c:spPr>
        <a:ln>
          <a:solidFill>
            <a:srgbClr val="8064A2">
              <a:lumMod val="60000"/>
              <a:lumOff val="40000"/>
            </a:srgbClr>
          </a:solidFill>
        </a:ln>
      </c:spPr>
    </c:plotArea>
    <c:legend>
      <c:legendPos val="b"/>
      <c:layout/>
    </c:legend>
    <c:plotVisOnly val="1"/>
  </c:chart>
  <c:spPr>
    <a:ln>
      <a:solidFill>
        <a:schemeClr val="accent4">
          <a:lumMod val="60000"/>
          <a:lumOff val="40000"/>
        </a:schemeClr>
      </a:solidFill>
    </a:ln>
  </c:spPr>
  <c:txPr>
    <a:bodyPr/>
    <a:lstStyle/>
    <a:p>
      <a:pPr>
        <a:defRPr>
          <a:latin typeface="Verdana" pitchFamily="34" charset="0"/>
          <a:ea typeface="Verdana" pitchFamily="34" charset="0"/>
        </a:defRPr>
      </a:pPr>
      <a:endParaRPr lang="es-E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s-ES"/>
  <c:chart>
    <c:title>
      <c:tx>
        <c:rich>
          <a:bodyPr/>
          <a:lstStyle/>
          <a:p>
            <a:pPr>
              <a:defRPr/>
            </a:pPr>
            <a:r>
              <a:rPr lang="es-ES" sz="1100">
                <a:solidFill>
                  <a:srgbClr val="7030A0"/>
                </a:solidFill>
              </a:rPr>
              <a:t>Evolución del gasto medio por hogar</a:t>
            </a:r>
          </a:p>
        </c:rich>
      </c:tx>
      <c:layout/>
    </c:title>
    <c:plotArea>
      <c:layout/>
      <c:lineChart>
        <c:grouping val="standard"/>
        <c:ser>
          <c:idx val="0"/>
          <c:order val="0"/>
          <c:tx>
            <c:strRef>
              <c:f>Hoja1!$B$1</c:f>
              <c:strCache>
                <c:ptCount val="1"/>
                <c:pt idx="0">
                  <c:v>Asturias</c:v>
                </c:pt>
              </c:strCache>
            </c:strRef>
          </c:tx>
          <c:spPr>
            <a:ln>
              <a:solidFill>
                <a:srgbClr val="993366"/>
              </a:solidFill>
            </a:ln>
          </c:spPr>
          <c:marker>
            <c:symbol val="none"/>
          </c:marker>
          <c:dLbls>
            <c:dLbl>
              <c:idx val="0"/>
              <c:layout>
                <c:manualLayout>
                  <c:x val="2.5885686067960611E-2"/>
                  <c:y val="0.10648148148148166"/>
                </c:manualLayout>
              </c:layout>
              <c:dLblPos val="t"/>
              <c:showVal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layout>
                <c:manualLayout>
                  <c:x val="0"/>
                  <c:y val="7.407407407407407E-2"/>
                </c:manualLayout>
              </c:layout>
              <c:dLblPos val="t"/>
              <c:showVal val="1"/>
            </c:dLbl>
            <c:dLblPos val="t"/>
            <c:showVal val="1"/>
          </c:dLbls>
          <c:cat>
            <c:strRef>
              <c:f>Hoja1!$A$2:$A$16</c:f>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f>Hoja1!$B$2:$B$16</c:f>
              <c:numCache>
                <c:formatCode>#,##0.0</c:formatCode>
                <c:ptCount val="15"/>
                <c:pt idx="0">
                  <c:v>27535.61</c:v>
                </c:pt>
                <c:pt idx="1">
                  <c:v>28279.95</c:v>
                </c:pt>
                <c:pt idx="2">
                  <c:v>29756.65</c:v>
                </c:pt>
                <c:pt idx="3">
                  <c:v>29553.15</c:v>
                </c:pt>
                <c:pt idx="4">
                  <c:v>30233.43</c:v>
                </c:pt>
                <c:pt idx="5">
                  <c:v>27142.14</c:v>
                </c:pt>
                <c:pt idx="6">
                  <c:v>26149.83</c:v>
                </c:pt>
                <c:pt idx="7">
                  <c:v>25697.07</c:v>
                </c:pt>
                <c:pt idx="8">
                  <c:v>26094.57</c:v>
                </c:pt>
                <c:pt idx="9">
                  <c:v>27005.81</c:v>
                </c:pt>
                <c:pt idx="10">
                  <c:v>26811.61</c:v>
                </c:pt>
                <c:pt idx="11">
                  <c:v>26422.45</c:v>
                </c:pt>
                <c:pt idx="12">
                  <c:v>27185.87</c:v>
                </c:pt>
                <c:pt idx="13">
                  <c:v>27367.02</c:v>
                </c:pt>
                <c:pt idx="14">
                  <c:v>23504.49</c:v>
                </c:pt>
              </c:numCache>
            </c:numRef>
          </c:val>
        </c:ser>
        <c:ser>
          <c:idx val="1"/>
          <c:order val="1"/>
          <c:tx>
            <c:strRef>
              <c:f>Hoja1!$C$1</c:f>
              <c:strCache>
                <c:ptCount val="1"/>
                <c:pt idx="0">
                  <c:v>España</c:v>
                </c:pt>
              </c:strCache>
            </c:strRef>
          </c:tx>
          <c:spPr>
            <a:ln>
              <a:solidFill>
                <a:srgbClr val="CCCC00"/>
              </a:solidFill>
            </a:ln>
          </c:spPr>
          <c:marker>
            <c:symbol val="none"/>
          </c:marker>
          <c:dLbls>
            <c:dLbl>
              <c:idx val="0"/>
              <c:layout>
                <c:manualLayout>
                  <c:x val="3.0592174443953412E-2"/>
                  <c:y val="7.407407407407407E-2"/>
                </c:manualLayout>
              </c:layout>
              <c:dLblPos val="t"/>
              <c:showVal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layout>
                <c:manualLayout>
                  <c:x val="0"/>
                  <c:y val="7.8703703703703734E-2"/>
                </c:manualLayout>
              </c:layout>
              <c:dLblPos val="t"/>
              <c:showVal val="1"/>
            </c:dLbl>
            <c:dLblPos val="t"/>
            <c:showVal val="1"/>
          </c:dLbls>
          <c:cat>
            <c:strRef>
              <c:f>Hoja1!$A$2:$A$16</c:f>
              <c:strCache>
                <c:ptCount val="15"/>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pt idx="13">
                  <c:v>2019</c:v>
                </c:pt>
                <c:pt idx="14">
                  <c:v>2020</c:v>
                </c:pt>
              </c:strCache>
            </c:strRef>
          </c:cat>
          <c:val>
            <c:numRef>
              <c:f>Hoja1!$C$2:$C$16</c:f>
              <c:numCache>
                <c:formatCode>#,##0.0</c:formatCode>
                <c:ptCount val="15"/>
                <c:pt idx="0">
                  <c:v>30278.78</c:v>
                </c:pt>
                <c:pt idx="1">
                  <c:v>31701.360000000001</c:v>
                </c:pt>
                <c:pt idx="2">
                  <c:v>31772.62</c:v>
                </c:pt>
                <c:pt idx="3">
                  <c:v>30245.09</c:v>
                </c:pt>
                <c:pt idx="4">
                  <c:v>29492.15</c:v>
                </c:pt>
                <c:pt idx="5">
                  <c:v>29187</c:v>
                </c:pt>
                <c:pt idx="6">
                  <c:v>28197</c:v>
                </c:pt>
                <c:pt idx="7">
                  <c:v>27150.75</c:v>
                </c:pt>
                <c:pt idx="8">
                  <c:v>27089.83</c:v>
                </c:pt>
                <c:pt idx="9">
                  <c:v>27473.040000000001</c:v>
                </c:pt>
                <c:pt idx="10">
                  <c:v>28199.88</c:v>
                </c:pt>
                <c:pt idx="11">
                  <c:v>29188.19</c:v>
                </c:pt>
                <c:pt idx="12">
                  <c:v>29871.279999999999</c:v>
                </c:pt>
                <c:pt idx="13">
                  <c:v>30242.76</c:v>
                </c:pt>
                <c:pt idx="14">
                  <c:v>26995.759999999998</c:v>
                </c:pt>
              </c:numCache>
            </c:numRef>
          </c:val>
        </c:ser>
        <c:dLbls>
          <c:showVal val="1"/>
        </c:dLbls>
        <c:marker val="1"/>
        <c:axId val="102569472"/>
        <c:axId val="102571008"/>
      </c:lineChart>
      <c:catAx>
        <c:axId val="102569472"/>
        <c:scaling>
          <c:orientation val="minMax"/>
        </c:scaling>
        <c:axPos val="b"/>
        <c:tickLblPos val="nextTo"/>
        <c:spPr>
          <a:ln>
            <a:solidFill>
              <a:srgbClr val="7030A0"/>
            </a:solidFill>
          </a:ln>
        </c:spPr>
        <c:crossAx val="102571008"/>
        <c:crosses val="autoZero"/>
        <c:auto val="1"/>
        <c:lblAlgn val="ctr"/>
        <c:lblOffset val="100"/>
      </c:catAx>
      <c:valAx>
        <c:axId val="102571008"/>
        <c:scaling>
          <c:orientation val="minMax"/>
          <c:min val="22000"/>
        </c:scaling>
        <c:axPos val="l"/>
        <c:numFmt formatCode="#,##0" sourceLinked="0"/>
        <c:tickLblPos val="nextTo"/>
        <c:spPr>
          <a:ln>
            <a:solidFill>
              <a:srgbClr val="7030A0"/>
            </a:solidFill>
          </a:ln>
        </c:spPr>
        <c:crossAx val="102569472"/>
        <c:crosses val="autoZero"/>
        <c:crossBetween val="between"/>
      </c:valAx>
      <c:spPr>
        <a:ln>
          <a:solidFill>
            <a:srgbClr val="7030A0"/>
          </a:solidFill>
        </a:ln>
      </c:spPr>
    </c:plotArea>
    <c:legend>
      <c:legendPos val="b"/>
      <c:layout/>
    </c:legend>
    <c:plotVisOnly val="1"/>
  </c:chart>
  <c:spPr>
    <a:ln>
      <a:solidFill>
        <a:srgbClr val="7030A0"/>
      </a:solidFill>
    </a:ln>
  </c:spPr>
  <c:txPr>
    <a:bodyPr/>
    <a:lstStyle/>
    <a:p>
      <a:pPr>
        <a:defRPr>
          <a:latin typeface="Verdana" pitchFamily="34" charset="0"/>
          <a:ea typeface="Verdana" pitchFamily="34" charset="0"/>
        </a:defRPr>
      </a:pPr>
      <a:endParaRPr lang="es-E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00">
                <a:solidFill>
                  <a:srgbClr val="7030A0"/>
                </a:solidFill>
              </a:defRPr>
            </a:pPr>
            <a:r>
              <a:rPr lang="en-US" sz="1100">
                <a:solidFill>
                  <a:srgbClr val="7030A0"/>
                </a:solidFill>
              </a:rPr>
              <a:t>Variación del gasto medio por hogar según tipo de gasto. Asturias 2020/2019</a:t>
            </a:r>
          </a:p>
        </c:rich>
      </c:tx>
      <c:layout/>
    </c:title>
    <c:plotArea>
      <c:layout/>
      <c:barChart>
        <c:barDir val="bar"/>
        <c:grouping val="clustered"/>
        <c:ser>
          <c:idx val="0"/>
          <c:order val="0"/>
          <c:tx>
            <c:strRef>
              <c:f>Hoja1!$B$1</c:f>
              <c:strCache>
                <c:ptCount val="1"/>
                <c:pt idx="0">
                  <c:v>Serie 1</c:v>
                </c:pt>
              </c:strCache>
            </c:strRef>
          </c:tx>
          <c:dLbls>
            <c:dLbl>
              <c:idx val="0"/>
              <c:layout>
                <c:manualLayout>
                  <c:x val="-3.2925682031984947E-2"/>
                  <c:y val="-1.0296010296010301E-2"/>
                </c:manualLayout>
              </c:layout>
              <c:numFmt formatCode="#,##0.0" sourceLinked="0"/>
              <c:spPr/>
              <c:txPr>
                <a:bodyPr/>
                <a:lstStyle/>
                <a:p>
                  <a:pPr>
                    <a:defRPr>
                      <a:solidFill>
                        <a:srgbClr val="FF0000"/>
                      </a:solidFill>
                    </a:defRPr>
                  </a:pPr>
                  <a:endParaRPr lang="es-ES"/>
                </a:p>
              </c:txPr>
              <c:dLblPos val="outEnd"/>
              <c:showVal val="1"/>
            </c:dLbl>
            <c:dLbl>
              <c:idx val="1"/>
              <c:layout>
                <c:manualLayout>
                  <c:x val="4.7040392293390418E-3"/>
                  <c:y val="-1.0296010296010301E-2"/>
                </c:manualLayout>
              </c:layout>
              <c:numFmt formatCode="#,##0.0" sourceLinked="0"/>
              <c:spPr/>
              <c:txPr>
                <a:bodyPr/>
                <a:lstStyle/>
                <a:p>
                  <a:pPr>
                    <a:defRPr>
                      <a:solidFill>
                        <a:srgbClr val="FF0000"/>
                      </a:solidFill>
                    </a:defRPr>
                  </a:pPr>
                  <a:endParaRPr lang="es-ES"/>
                </a:p>
              </c:txPr>
              <c:dLblPos val="outEnd"/>
              <c:showVal val="1"/>
            </c:dLbl>
            <c:dLbl>
              <c:idx val="2"/>
              <c:numFmt formatCode="#,##0.0" sourceLinked="0"/>
              <c:spPr/>
              <c:txPr>
                <a:bodyPr/>
                <a:lstStyle/>
                <a:p>
                  <a:pPr>
                    <a:defRPr>
                      <a:solidFill>
                        <a:srgbClr val="FF0000"/>
                      </a:solidFill>
                    </a:defRPr>
                  </a:pPr>
                  <a:endParaRPr lang="es-ES"/>
                </a:p>
              </c:txPr>
            </c:dLbl>
            <c:dLbl>
              <c:idx val="3"/>
              <c:numFmt formatCode="#,##0.0" sourceLinked="0"/>
              <c:spPr/>
              <c:txPr>
                <a:bodyPr/>
                <a:lstStyle/>
                <a:p>
                  <a:pPr>
                    <a:defRPr>
                      <a:solidFill>
                        <a:srgbClr val="FF0000"/>
                      </a:solidFill>
                    </a:defRPr>
                  </a:pPr>
                  <a:endParaRPr lang="es-ES"/>
                </a:p>
              </c:txPr>
            </c:dLbl>
            <c:dLbl>
              <c:idx val="4"/>
              <c:numFmt formatCode="#,##0.0" sourceLinked="0"/>
              <c:spPr/>
              <c:txPr>
                <a:bodyPr/>
                <a:lstStyle/>
                <a:p>
                  <a:pPr>
                    <a:defRPr>
                      <a:solidFill>
                        <a:srgbClr val="FF0000"/>
                      </a:solidFill>
                    </a:defRPr>
                  </a:pPr>
                  <a:endParaRPr lang="es-ES"/>
                </a:p>
              </c:txPr>
            </c:dLbl>
            <c:dLbl>
              <c:idx val="5"/>
              <c:numFmt formatCode="#,##0.0" sourceLinked="0"/>
              <c:spPr/>
              <c:txPr>
                <a:bodyPr/>
                <a:lstStyle/>
                <a:p>
                  <a:pPr>
                    <a:defRPr>
                      <a:solidFill>
                        <a:srgbClr val="FF0000"/>
                      </a:solidFill>
                    </a:defRPr>
                  </a:pPr>
                  <a:endParaRPr lang="es-ES"/>
                </a:p>
              </c:txPr>
            </c:dLbl>
            <c:dLbl>
              <c:idx val="6"/>
              <c:numFmt formatCode="#,##0.0" sourceLinked="0"/>
              <c:spPr/>
              <c:txPr>
                <a:bodyPr/>
                <a:lstStyle/>
                <a:p>
                  <a:pPr>
                    <a:defRPr b="1">
                      <a:solidFill>
                        <a:srgbClr val="FF0000"/>
                      </a:solidFill>
                    </a:defRPr>
                  </a:pPr>
                  <a:endParaRPr lang="es-ES"/>
                </a:p>
              </c:txPr>
            </c:dLbl>
            <c:dLbl>
              <c:idx val="7"/>
              <c:numFmt formatCode="#,##0.0" sourceLinked="0"/>
              <c:spPr/>
              <c:txPr>
                <a:bodyPr/>
                <a:lstStyle/>
                <a:p>
                  <a:pPr>
                    <a:defRPr>
                      <a:solidFill>
                        <a:srgbClr val="FF0000"/>
                      </a:solidFill>
                    </a:defRPr>
                  </a:pPr>
                  <a:endParaRPr lang="es-ES"/>
                </a:p>
              </c:txPr>
            </c:dLbl>
            <c:dLbl>
              <c:idx val="8"/>
              <c:numFmt formatCode="#,##0.0" sourceLinked="0"/>
              <c:spPr/>
              <c:txPr>
                <a:bodyPr/>
                <a:lstStyle/>
                <a:p>
                  <a:pPr>
                    <a:defRPr>
                      <a:solidFill>
                        <a:srgbClr val="FF0000"/>
                      </a:solidFill>
                    </a:defRPr>
                  </a:pPr>
                  <a:endParaRPr lang="es-ES"/>
                </a:p>
              </c:txPr>
            </c:dLbl>
            <c:dLbl>
              <c:idx val="9"/>
              <c:numFmt formatCode="#,##0.0" sourceLinked="0"/>
              <c:spPr/>
              <c:txPr>
                <a:bodyPr/>
                <a:lstStyle/>
                <a:p>
                  <a:pPr>
                    <a:defRPr>
                      <a:solidFill>
                        <a:srgbClr val="FF0000"/>
                      </a:solidFill>
                    </a:defRPr>
                  </a:pPr>
                  <a:endParaRPr lang="es-ES"/>
                </a:p>
              </c:txPr>
            </c:dLbl>
            <c:dLbl>
              <c:idx val="10"/>
              <c:numFmt formatCode="#,##0.0" sourceLinked="0"/>
              <c:spPr/>
              <c:txPr>
                <a:bodyPr/>
                <a:lstStyle/>
                <a:p>
                  <a:pPr>
                    <a:defRPr>
                      <a:solidFill>
                        <a:srgbClr val="FF0000"/>
                      </a:solidFill>
                    </a:defRPr>
                  </a:pPr>
                  <a:endParaRPr lang="es-ES"/>
                </a:p>
              </c:txPr>
            </c:dLbl>
            <c:dLbl>
              <c:idx val="11"/>
              <c:layout>
                <c:manualLayout>
                  <c:x val="-1.4111006585136398E-2"/>
                  <c:y val="-2.3594751026446775E-17"/>
                </c:manualLayout>
              </c:layout>
              <c:numFmt formatCode="#,##0.0" sourceLinked="0"/>
              <c:spPr/>
              <c:txPr>
                <a:bodyPr/>
                <a:lstStyle/>
                <a:p>
                  <a:pPr>
                    <a:defRPr>
                      <a:solidFill>
                        <a:srgbClr val="FF0000"/>
                      </a:solidFill>
                    </a:defRPr>
                  </a:pPr>
                  <a:endParaRPr lang="es-ES"/>
                </a:p>
              </c:txPr>
              <c:dLblPos val="outEnd"/>
              <c:showVal val="1"/>
            </c:dLbl>
            <c:dLbl>
              <c:idx val="12"/>
              <c:layout>
                <c:manualLayout>
                  <c:x val="-9.4073377234243048E-3"/>
                  <c:y val="2.5740025740025752E-3"/>
                </c:manualLayout>
              </c:layout>
              <c:dLblPos val="outEnd"/>
              <c:showVal val="1"/>
            </c:dLbl>
            <c:numFmt formatCode="#,##0.0" sourceLinked="0"/>
            <c:dLblPos val="outEnd"/>
            <c:showVal val="1"/>
          </c:dLbls>
          <c:cat>
            <c:strRef>
              <c:f>Hoja1!$A$2:$A$14</c:f>
              <c:strCache>
                <c:ptCount val="13"/>
                <c:pt idx="0">
                  <c:v>Restaurantes y hoteles</c:v>
                </c:pt>
                <c:pt idx="1">
                  <c:v>Vestido y calzado</c:v>
                </c:pt>
                <c:pt idx="2">
                  <c:v>Transporte</c:v>
                </c:pt>
                <c:pt idx="3">
                  <c:v>Ocio y cultura</c:v>
                </c:pt>
                <c:pt idx="4">
                  <c:v>Enseñanza</c:v>
                </c:pt>
                <c:pt idx="5">
                  <c:v>Muebles y artículos de hogar</c:v>
                </c:pt>
                <c:pt idx="6">
                  <c:v>TOTAL</c:v>
                </c:pt>
                <c:pt idx="7">
                  <c:v>Sanidad</c:v>
                </c:pt>
                <c:pt idx="8">
                  <c:v>Otros bienes y servicios</c:v>
                </c:pt>
                <c:pt idx="9">
                  <c:v>Bebidas alcohólicas y tabaco</c:v>
                </c:pt>
                <c:pt idx="10">
                  <c:v>Comunicaciones</c:v>
                </c:pt>
                <c:pt idx="11">
                  <c:v>Vivienda, agua, electricidad y gas</c:v>
                </c:pt>
                <c:pt idx="12">
                  <c:v>Alimentos y bebidas no alcohólicas</c:v>
                </c:pt>
              </c:strCache>
            </c:strRef>
          </c:cat>
          <c:val>
            <c:numRef>
              <c:f>Hoja1!$B$2:$B$14</c:f>
              <c:numCache>
                <c:formatCode>General</c:formatCode>
                <c:ptCount val="13"/>
                <c:pt idx="0">
                  <c:v>-49.5</c:v>
                </c:pt>
                <c:pt idx="1">
                  <c:v>-38</c:v>
                </c:pt>
                <c:pt idx="2">
                  <c:v>-36.1</c:v>
                </c:pt>
                <c:pt idx="3">
                  <c:v>-32.800000000000004</c:v>
                </c:pt>
                <c:pt idx="4">
                  <c:v>-18.399999999999999</c:v>
                </c:pt>
                <c:pt idx="5">
                  <c:v>-16.600000000000001</c:v>
                </c:pt>
                <c:pt idx="6">
                  <c:v>-14.1</c:v>
                </c:pt>
                <c:pt idx="7">
                  <c:v>-5.9</c:v>
                </c:pt>
                <c:pt idx="8">
                  <c:v>-5.7</c:v>
                </c:pt>
                <c:pt idx="9">
                  <c:v>-3.7</c:v>
                </c:pt>
                <c:pt idx="10">
                  <c:v>-2.4</c:v>
                </c:pt>
                <c:pt idx="11">
                  <c:v>-0.1</c:v>
                </c:pt>
                <c:pt idx="12">
                  <c:v>3.1</c:v>
                </c:pt>
              </c:numCache>
            </c:numRef>
          </c:val>
        </c:ser>
        <c:dLbls>
          <c:showVal val="1"/>
        </c:dLbls>
        <c:axId val="102649216"/>
        <c:axId val="102651008"/>
      </c:barChart>
      <c:catAx>
        <c:axId val="102649216"/>
        <c:scaling>
          <c:orientation val="minMax"/>
        </c:scaling>
        <c:axPos val="l"/>
        <c:tickLblPos val="low"/>
        <c:spPr>
          <a:ln>
            <a:solidFill>
              <a:srgbClr val="B3A2C7"/>
            </a:solidFill>
          </a:ln>
        </c:spPr>
        <c:crossAx val="102651008"/>
        <c:crosses val="autoZero"/>
        <c:auto val="1"/>
        <c:lblAlgn val="ctr"/>
        <c:lblOffset val="100"/>
      </c:catAx>
      <c:valAx>
        <c:axId val="102651008"/>
        <c:scaling>
          <c:orientation val="minMax"/>
          <c:max val="10"/>
        </c:scaling>
        <c:delete val="1"/>
        <c:axPos val="b"/>
        <c:numFmt formatCode="General" sourceLinked="1"/>
        <c:tickLblPos val="nextTo"/>
        <c:crossAx val="102649216"/>
        <c:crosses val="autoZero"/>
        <c:crossBetween val="between"/>
        <c:majorUnit val="5"/>
      </c:valAx>
      <c:spPr>
        <a:ln>
          <a:solidFill>
            <a:srgbClr val="7030A0"/>
          </a:solidFill>
        </a:ln>
      </c:spPr>
    </c:plotArea>
    <c:plotVisOnly val="1"/>
  </c:chart>
  <c:spPr>
    <a:ln>
      <a:solidFill>
        <a:srgbClr val="7030A0"/>
      </a:solidFill>
    </a:ln>
  </c:spPr>
  <c:txPr>
    <a:bodyPr/>
    <a:lstStyle/>
    <a:p>
      <a:pPr>
        <a:defRPr>
          <a:latin typeface="Verdana" pitchFamily="34" charset="0"/>
          <a:ea typeface="Verdana" pitchFamily="34" charset="0"/>
        </a:defRPr>
      </a:pPr>
      <a:endParaRPr lang="es-E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solidFill>
                  <a:srgbClr val="7030A0"/>
                </a:solidFill>
              </a:defRPr>
            </a:pPr>
            <a:r>
              <a:rPr lang="es-ES" sz="1400">
                <a:solidFill>
                  <a:srgbClr val="7030A0"/>
                </a:solidFill>
              </a:rPr>
              <a:t>Tasas de pobreza y/o exclusión</a:t>
            </a:r>
            <a:r>
              <a:rPr lang="es-ES" sz="1400" baseline="0">
                <a:solidFill>
                  <a:srgbClr val="7030A0"/>
                </a:solidFill>
              </a:rPr>
              <a:t> social</a:t>
            </a:r>
            <a:endParaRPr lang="es-ES" sz="1400">
              <a:solidFill>
                <a:srgbClr val="7030A0"/>
              </a:solidFill>
            </a:endParaRPr>
          </a:p>
        </c:rich>
      </c:tx>
      <c:layout/>
    </c:title>
    <c:plotArea>
      <c:layout/>
      <c:lineChart>
        <c:grouping val="standard"/>
        <c:ser>
          <c:idx val="0"/>
          <c:order val="0"/>
          <c:tx>
            <c:strRef>
              <c:f>Hoja1!$B$1</c:f>
              <c:strCache>
                <c:ptCount val="1"/>
                <c:pt idx="0">
                  <c:v>España</c:v>
                </c:pt>
              </c:strCache>
            </c:strRef>
          </c:tx>
          <c:spPr>
            <a:ln>
              <a:solidFill>
                <a:srgbClr val="CCCC00"/>
              </a:solidFill>
            </a:ln>
          </c:spPr>
          <c:marker>
            <c:symbol val="none"/>
          </c:marker>
          <c:dLbls>
            <c:dLbl>
              <c:idx val="0"/>
              <c:layout>
                <c:manualLayout>
                  <c:x val="-7.0551779728825646E-3"/>
                  <c:y val="2.9947909502290909E-2"/>
                </c:manualLayout>
              </c:layout>
              <c:dLblPos val="t"/>
              <c:showVal val="1"/>
            </c:dLbl>
            <c:dLbl>
              <c:idx val="1"/>
              <c:layout>
                <c:manualLayout>
                  <c:x val="4.7034519819217132E-3"/>
                  <c:y val="2.9947909502290909E-2"/>
                </c:manualLayout>
              </c:layout>
              <c:dLblPos val="t"/>
              <c:showVal val="1"/>
            </c:dLbl>
            <c:dLblPos val="t"/>
            <c:showVal val="1"/>
          </c:dLbls>
          <c:cat>
            <c:numRef>
              <c:f>Hoja1!$A$2:$A$6</c:f>
              <c:numCache>
                <c:formatCode>General</c:formatCode>
                <c:ptCount val="5"/>
                <c:pt idx="0">
                  <c:v>2015</c:v>
                </c:pt>
                <c:pt idx="1">
                  <c:v>2016</c:v>
                </c:pt>
                <c:pt idx="2">
                  <c:v>2017</c:v>
                </c:pt>
                <c:pt idx="3">
                  <c:v>2018</c:v>
                </c:pt>
                <c:pt idx="4">
                  <c:v>2019</c:v>
                </c:pt>
              </c:numCache>
            </c:numRef>
          </c:cat>
          <c:val>
            <c:numRef>
              <c:f>Hoja1!$B$2:$B$6</c:f>
              <c:numCache>
                <c:formatCode>General</c:formatCode>
                <c:ptCount val="5"/>
                <c:pt idx="0">
                  <c:v>28.7</c:v>
                </c:pt>
                <c:pt idx="1">
                  <c:v>28.8</c:v>
                </c:pt>
                <c:pt idx="2">
                  <c:v>27.5</c:v>
                </c:pt>
                <c:pt idx="3">
                  <c:v>27.3</c:v>
                </c:pt>
                <c:pt idx="4">
                  <c:v>26.2</c:v>
                </c:pt>
              </c:numCache>
            </c:numRef>
          </c:val>
        </c:ser>
        <c:ser>
          <c:idx val="1"/>
          <c:order val="1"/>
          <c:tx>
            <c:strRef>
              <c:f>Hoja1!$C$1</c:f>
              <c:strCache>
                <c:ptCount val="1"/>
                <c:pt idx="0">
                  <c:v>UE-27</c:v>
                </c:pt>
              </c:strCache>
            </c:strRef>
          </c:tx>
          <c:spPr>
            <a:ln>
              <a:solidFill>
                <a:srgbClr val="993366"/>
              </a:solidFill>
            </a:ln>
          </c:spPr>
          <c:marker>
            <c:symbol val="none"/>
          </c:marker>
          <c:dLbls>
            <c:numFmt formatCode="#,##0.0" sourceLinked="0"/>
            <c:dLblPos val="t"/>
            <c:showVal val="1"/>
          </c:dLbls>
          <c:cat>
            <c:numRef>
              <c:f>Hoja1!$A$2:$A$6</c:f>
              <c:numCache>
                <c:formatCode>General</c:formatCode>
                <c:ptCount val="5"/>
                <c:pt idx="0">
                  <c:v>2015</c:v>
                </c:pt>
                <c:pt idx="1">
                  <c:v>2016</c:v>
                </c:pt>
                <c:pt idx="2">
                  <c:v>2017</c:v>
                </c:pt>
                <c:pt idx="3">
                  <c:v>2018</c:v>
                </c:pt>
                <c:pt idx="4">
                  <c:v>2019</c:v>
                </c:pt>
              </c:numCache>
            </c:numRef>
          </c:cat>
          <c:val>
            <c:numRef>
              <c:f>Hoja1!$C$2:$C$6</c:f>
              <c:numCache>
                <c:formatCode>General</c:formatCode>
                <c:ptCount val="5"/>
                <c:pt idx="0">
                  <c:v>24</c:v>
                </c:pt>
                <c:pt idx="1">
                  <c:v>23.7</c:v>
                </c:pt>
                <c:pt idx="2">
                  <c:v>22.4</c:v>
                </c:pt>
                <c:pt idx="3">
                  <c:v>21.7</c:v>
                </c:pt>
                <c:pt idx="4">
                  <c:v>21.1</c:v>
                </c:pt>
              </c:numCache>
            </c:numRef>
          </c:val>
        </c:ser>
        <c:dLbls>
          <c:showVal val="1"/>
        </c:dLbls>
        <c:marker val="1"/>
        <c:axId val="101464704"/>
        <c:axId val="101470592"/>
      </c:lineChart>
      <c:catAx>
        <c:axId val="101464704"/>
        <c:scaling>
          <c:orientation val="minMax"/>
        </c:scaling>
        <c:axPos val="b"/>
        <c:numFmt formatCode="General" sourceLinked="1"/>
        <c:tickLblPos val="nextTo"/>
        <c:spPr>
          <a:ln>
            <a:solidFill>
              <a:srgbClr val="7030A0"/>
            </a:solidFill>
          </a:ln>
        </c:spPr>
        <c:crossAx val="101470592"/>
        <c:crosses val="autoZero"/>
        <c:auto val="1"/>
        <c:lblAlgn val="ctr"/>
        <c:lblOffset val="100"/>
      </c:catAx>
      <c:valAx>
        <c:axId val="101470592"/>
        <c:scaling>
          <c:orientation val="minMax"/>
          <c:min val="20"/>
        </c:scaling>
        <c:axPos val="l"/>
        <c:numFmt formatCode="General" sourceLinked="1"/>
        <c:tickLblPos val="nextTo"/>
        <c:spPr>
          <a:ln>
            <a:solidFill>
              <a:srgbClr val="7030A0"/>
            </a:solidFill>
          </a:ln>
        </c:spPr>
        <c:crossAx val="101464704"/>
        <c:crosses val="autoZero"/>
        <c:crossBetween val="between"/>
      </c:valAx>
      <c:spPr>
        <a:ln>
          <a:solidFill>
            <a:srgbClr val="7030A0"/>
          </a:solidFill>
        </a:ln>
      </c:spPr>
    </c:plotArea>
    <c:legend>
      <c:legendPos val="b"/>
      <c:layout/>
    </c:legend>
    <c:plotVisOnly val="1"/>
  </c:chart>
  <c:spPr>
    <a:ln>
      <a:solidFill>
        <a:srgbClr val="7030A0"/>
      </a:solidFill>
    </a:ln>
  </c:spPr>
  <c:txPr>
    <a:bodyPr/>
    <a:lstStyle/>
    <a:p>
      <a:pPr>
        <a:defRPr>
          <a:latin typeface="Verdana" pitchFamily="34" charset="0"/>
          <a:ea typeface="Verdana" pitchFamily="34" charset="0"/>
        </a:defRPr>
      </a:pPr>
      <a:endParaRPr lang="es-E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000" b="1">
                <a:solidFill>
                  <a:srgbClr val="7030A0"/>
                </a:solidFill>
              </a:defRPr>
            </a:pPr>
            <a:r>
              <a:rPr lang="en-US" sz="1000" b="1">
                <a:solidFill>
                  <a:srgbClr val="7030A0"/>
                </a:solidFill>
              </a:rPr>
              <a:t>Variación paro registrado 2020/19 (%)</a:t>
            </a:r>
          </a:p>
        </c:rich>
      </c:tx>
      <c:layout>
        <c:manualLayout>
          <c:xMode val="edge"/>
          <c:yMode val="edge"/>
          <c:x val="0.11148009284056407"/>
          <c:y val="0"/>
        </c:manualLayout>
      </c:layout>
    </c:title>
    <c:plotArea>
      <c:layout>
        <c:manualLayout>
          <c:layoutTarget val="inner"/>
          <c:xMode val="edge"/>
          <c:yMode val="edge"/>
          <c:x val="7.0882252724053921E-2"/>
          <c:y val="0.14808070866141734"/>
          <c:w val="0.89619206524396056"/>
          <c:h val="0.364940124671916"/>
        </c:manualLayout>
      </c:layout>
      <c:barChart>
        <c:barDir val="col"/>
        <c:grouping val="clustered"/>
        <c:ser>
          <c:idx val="0"/>
          <c:order val="0"/>
          <c:tx>
            <c:strRef>
              <c:f>Hoja1!$B$1</c:f>
              <c:strCache>
                <c:ptCount val="1"/>
                <c:pt idx="0">
                  <c:v>Serie 1</c:v>
                </c:pt>
              </c:strCache>
            </c:strRef>
          </c:tx>
          <c:dPt>
            <c:idx val="2"/>
            <c:spPr>
              <a:solidFill>
                <a:srgbClr val="CCCC00"/>
              </a:solidFill>
            </c:spPr>
          </c:dPt>
          <c:dPt>
            <c:idx val="3"/>
            <c:spPr>
              <a:solidFill>
                <a:srgbClr val="CCCC00"/>
              </a:solidFill>
            </c:spPr>
          </c:dPt>
          <c:dPt>
            <c:idx val="4"/>
            <c:spPr>
              <a:solidFill>
                <a:schemeClr val="accent4">
                  <a:lumMod val="60000"/>
                  <a:lumOff val="40000"/>
                </a:schemeClr>
              </a:solidFill>
            </c:spPr>
          </c:dPt>
          <c:dPt>
            <c:idx val="5"/>
            <c:spPr>
              <a:solidFill>
                <a:srgbClr val="993366"/>
              </a:solidFill>
            </c:spPr>
          </c:dPt>
          <c:dPt>
            <c:idx val="6"/>
            <c:spPr>
              <a:solidFill>
                <a:srgbClr val="993366"/>
              </a:solidFill>
            </c:spPr>
          </c:dPt>
          <c:dPt>
            <c:idx val="7"/>
            <c:spPr>
              <a:solidFill>
                <a:srgbClr val="FFC000"/>
              </a:solidFill>
            </c:spPr>
          </c:dPt>
          <c:dLbls>
            <c:dLbl>
              <c:idx val="4"/>
              <c:layout>
                <c:manualLayout>
                  <c:x val="5.3390353522361021E-3"/>
                  <c:y val="1.1648413058315389E-2"/>
                </c:manualLayout>
              </c:layout>
              <c:dLblPos val="outEnd"/>
              <c:showVal val="1"/>
            </c:dLbl>
            <c:dLbl>
              <c:idx val="5"/>
              <c:layout>
                <c:manualLayout>
                  <c:x val="0"/>
                  <c:y val="4.0721349621873147E-2"/>
                </c:manualLayout>
              </c:layout>
              <c:dLblPos val="outEnd"/>
              <c:showVal val="1"/>
            </c:dLbl>
            <c:numFmt formatCode="#,##0.0" sourceLinked="0"/>
            <c:dLblPos val="outEnd"/>
            <c:showVal val="1"/>
          </c:dLbls>
          <c:cat>
            <c:strRef>
              <c:f>Hoja1!$A$2:$A$9</c:f>
              <c:strCache>
                <c:ptCount val="8"/>
                <c:pt idx="0">
                  <c:v>Hombres</c:v>
                </c:pt>
                <c:pt idx="1">
                  <c:v>Mujeres</c:v>
                </c:pt>
                <c:pt idx="2">
                  <c:v>&lt; 25 años</c:v>
                </c:pt>
                <c:pt idx="3">
                  <c:v>De 25 a 35 años</c:v>
                </c:pt>
                <c:pt idx="4">
                  <c:v>Extranjeros</c:v>
                </c:pt>
                <c:pt idx="5">
                  <c:v>Sin estudios</c:v>
                </c:pt>
                <c:pt idx="6">
                  <c:v>Estudios primarios</c:v>
                </c:pt>
                <c:pt idx="7">
                  <c:v>PARO TOTAL</c:v>
                </c:pt>
              </c:strCache>
            </c:strRef>
          </c:cat>
          <c:val>
            <c:numRef>
              <c:f>Hoja1!$B$2:$B$9</c:f>
              <c:numCache>
                <c:formatCode>General</c:formatCode>
                <c:ptCount val="8"/>
                <c:pt idx="0">
                  <c:v>16.8</c:v>
                </c:pt>
                <c:pt idx="1">
                  <c:v>8.4</c:v>
                </c:pt>
                <c:pt idx="2">
                  <c:v>18.600000000000001</c:v>
                </c:pt>
                <c:pt idx="3">
                  <c:v>17.3</c:v>
                </c:pt>
                <c:pt idx="4">
                  <c:v>18.399999999999999</c:v>
                </c:pt>
                <c:pt idx="5">
                  <c:v>70.2</c:v>
                </c:pt>
                <c:pt idx="6">
                  <c:v>22.3</c:v>
                </c:pt>
                <c:pt idx="7">
                  <c:v>12</c:v>
                </c:pt>
              </c:numCache>
            </c:numRef>
          </c:val>
        </c:ser>
        <c:dLbls>
          <c:showVal val="1"/>
        </c:dLbls>
        <c:axId val="101493376"/>
        <c:axId val="101515648"/>
      </c:barChart>
      <c:catAx>
        <c:axId val="101493376"/>
        <c:scaling>
          <c:orientation val="minMax"/>
        </c:scaling>
        <c:axPos val="b"/>
        <c:tickLblPos val="nextTo"/>
        <c:spPr>
          <a:ln>
            <a:solidFill>
              <a:srgbClr val="7030A0"/>
            </a:solidFill>
          </a:ln>
        </c:spPr>
        <c:txPr>
          <a:bodyPr/>
          <a:lstStyle/>
          <a:p>
            <a:pPr>
              <a:defRPr sz="900"/>
            </a:pPr>
            <a:endParaRPr lang="es-ES"/>
          </a:p>
        </c:txPr>
        <c:crossAx val="101515648"/>
        <c:crosses val="autoZero"/>
        <c:auto val="1"/>
        <c:lblAlgn val="ctr"/>
        <c:lblOffset val="100"/>
      </c:catAx>
      <c:valAx>
        <c:axId val="101515648"/>
        <c:scaling>
          <c:orientation val="minMax"/>
        </c:scaling>
        <c:delete val="1"/>
        <c:axPos val="l"/>
        <c:numFmt formatCode="General" sourceLinked="1"/>
        <c:tickLblPos val="nextTo"/>
        <c:crossAx val="101493376"/>
        <c:crosses val="autoZero"/>
        <c:crossBetween val="between"/>
      </c:valAx>
      <c:spPr>
        <a:ln>
          <a:solidFill>
            <a:srgbClr val="7030A0"/>
          </a:solidFill>
        </a:ln>
      </c:spPr>
    </c:plotArea>
    <c:plotVisOnly val="1"/>
  </c:chart>
  <c:spPr>
    <a:ln>
      <a:solidFill>
        <a:srgbClr val="7030A0"/>
      </a:solidFill>
    </a:ln>
  </c:spPr>
  <c:txPr>
    <a:bodyPr/>
    <a:lstStyle/>
    <a:p>
      <a:pPr>
        <a:defRPr>
          <a:latin typeface="Verdana" pitchFamily="34" charset="0"/>
          <a:ea typeface="Verdana" pitchFamily="34" charset="0"/>
        </a:defRPr>
      </a:pPr>
      <a:endParaRPr lang="es-E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sz="1100">
                <a:solidFill>
                  <a:srgbClr val="7030A0"/>
                </a:solidFill>
              </a:rPr>
              <a:t>Evolución de</a:t>
            </a:r>
            <a:r>
              <a:rPr lang="es-ES" sz="1100" baseline="0">
                <a:solidFill>
                  <a:srgbClr val="7030A0"/>
                </a:solidFill>
              </a:rPr>
              <a:t> la tasa de variación del coste salarial real</a:t>
            </a:r>
            <a:endParaRPr lang="es-ES" sz="1100">
              <a:solidFill>
                <a:srgbClr val="7030A0"/>
              </a:solidFill>
            </a:endParaRPr>
          </a:p>
        </c:rich>
      </c:tx>
      <c:layout/>
      <c:spPr>
        <a:noFill/>
      </c:spPr>
    </c:title>
    <c:plotArea>
      <c:layout/>
      <c:lineChart>
        <c:grouping val="standard"/>
        <c:ser>
          <c:idx val="0"/>
          <c:order val="0"/>
          <c:tx>
            <c:strRef>
              <c:f>Hoja1!$B$1</c:f>
              <c:strCache>
                <c:ptCount val="1"/>
                <c:pt idx="0">
                  <c:v>Asturias</c:v>
                </c:pt>
              </c:strCache>
            </c:strRef>
          </c:tx>
          <c:spPr>
            <a:ln>
              <a:solidFill>
                <a:srgbClr val="993366"/>
              </a:solidFill>
            </a:ln>
          </c:spPr>
          <c:marker>
            <c:symbol val="none"/>
          </c:marker>
          <c:dLbls>
            <c:dLbl>
              <c:idx val="0"/>
              <c:layout>
                <c:manualLayout>
                  <c:x val="1.8814675446848568E-2"/>
                  <c:y val="3.6283007458173859E-2"/>
                </c:manualLayout>
              </c:layout>
              <c:dLblPos val="t"/>
              <c:showVal val="1"/>
            </c:dLbl>
            <c:dLbl>
              <c:idx val="2"/>
              <c:layout>
                <c:manualLayout>
                  <c:x val="2.3518344308560675E-3"/>
                  <c:y val="7.6597460189477926E-2"/>
                </c:manualLayout>
              </c:layout>
              <c:dLblPos val="t"/>
              <c:showVal val="1"/>
            </c:dLbl>
            <c:dLbl>
              <c:idx val="4"/>
              <c:layout>
                <c:manualLayout>
                  <c:x val="1.4111006585136398E-2"/>
                  <c:y val="0.14916347510582567"/>
                </c:manualLayout>
              </c:layout>
              <c:dLblPos val="t"/>
              <c:showVal val="1"/>
            </c:dLbl>
            <c:dLbl>
              <c:idx val="5"/>
              <c:layout>
                <c:manualLayout>
                  <c:x val="0"/>
                  <c:y val="8.0628905462608536E-2"/>
                </c:manualLayout>
              </c:layout>
              <c:dLblPos val="t"/>
              <c:showVal val="1"/>
            </c:dLbl>
            <c:dLbl>
              <c:idx val="6"/>
              <c:layout>
                <c:manualLayout>
                  <c:x val="0"/>
                  <c:y val="3.2251562185043416E-2"/>
                </c:manualLayout>
              </c:layout>
              <c:dLblPos val="t"/>
              <c:showVal val="1"/>
            </c:dLbl>
            <c:dLbl>
              <c:idx val="8"/>
              <c:layout>
                <c:manualLayout>
                  <c:x val="7.0555032925681289E-3"/>
                  <c:y val="7.6597460189477926E-2"/>
                </c:manualLayout>
              </c:layout>
              <c:dLblPos val="t"/>
              <c:showVal val="1"/>
            </c:dLbl>
            <c:dLbl>
              <c:idx val="11"/>
              <c:layout>
                <c:manualLayout>
                  <c:x val="1.6462841015992474E-2"/>
                  <c:y val="6.8534569643217164E-2"/>
                </c:manualLayout>
              </c:layout>
              <c:dLblPos val="t"/>
              <c:showVal val="1"/>
            </c:dLbl>
            <c:numFmt formatCode="#,##0.0" sourceLinked="0"/>
            <c:dLblPos val="t"/>
            <c:showVal val="1"/>
          </c:dLbls>
          <c:cat>
            <c:numRef>
              <c:f>Hoja1!$A$2:$A$13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Hoja1!$B$2:$B$13</c:f>
              <c:numCache>
                <c:formatCode>General</c:formatCode>
                <c:ptCount val="12"/>
                <c:pt idx="0">
                  <c:v>-0.58676692941958941</c:v>
                </c:pt>
                <c:pt idx="1">
                  <c:v>-3.5857532878662353</c:v>
                </c:pt>
                <c:pt idx="2">
                  <c:v>-4.6617853091378265</c:v>
                </c:pt>
                <c:pt idx="3">
                  <c:v>8.9338510797733167E-2</c:v>
                </c:pt>
                <c:pt idx="4">
                  <c:v>-0.16796226511347531</c:v>
                </c:pt>
                <c:pt idx="5">
                  <c:v>1.2946048177039677</c:v>
                </c:pt>
                <c:pt idx="6">
                  <c:v>3.3342649721950437</c:v>
                </c:pt>
                <c:pt idx="7">
                  <c:v>-0.94840707173906358</c:v>
                </c:pt>
                <c:pt idx="8">
                  <c:v>-1.7296010394962409</c:v>
                </c:pt>
                <c:pt idx="9">
                  <c:v>2.2473932476827971</c:v>
                </c:pt>
                <c:pt idx="10">
                  <c:v>-1.5309362864055038</c:v>
                </c:pt>
                <c:pt idx="11">
                  <c:v>-2.2722950862587967</c:v>
                </c:pt>
              </c:numCache>
            </c:numRef>
          </c:val>
        </c:ser>
        <c:ser>
          <c:idx val="1"/>
          <c:order val="1"/>
          <c:tx>
            <c:strRef>
              <c:f>Hoja1!$C$1</c:f>
              <c:strCache>
                <c:ptCount val="1"/>
                <c:pt idx="0">
                  <c:v>España</c:v>
                </c:pt>
              </c:strCache>
            </c:strRef>
          </c:tx>
          <c:spPr>
            <a:ln>
              <a:solidFill>
                <a:srgbClr val="CCCC00"/>
              </a:solidFill>
            </a:ln>
          </c:spPr>
          <c:marker>
            <c:symbol val="none"/>
          </c:marker>
          <c:dLbls>
            <c:dLbl>
              <c:idx val="0"/>
              <c:layout>
                <c:manualLayout>
                  <c:x val="2.3518344308560675E-3"/>
                  <c:y val="9.2723241281999644E-2"/>
                </c:manualLayout>
              </c:layout>
              <c:dLblPos val="t"/>
              <c:showVal val="1"/>
            </c:dLbl>
            <c:dLbl>
              <c:idx val="4"/>
              <c:layout>
                <c:manualLayout>
                  <c:x val="4.7036688617121498E-3"/>
                  <c:y val="4.0314452731304171E-2"/>
                </c:manualLayout>
              </c:layout>
              <c:dLblPos val="t"/>
              <c:showVal val="1"/>
            </c:dLbl>
            <c:dLbl>
              <c:idx val="5"/>
              <c:layout>
                <c:manualLayout>
                  <c:x val="-7.0555032925682095E-3"/>
                  <c:y val="3.6283007458173859E-2"/>
                </c:manualLayout>
              </c:layout>
              <c:dLblPos val="t"/>
              <c:showVal val="1"/>
            </c:dLbl>
            <c:dLbl>
              <c:idx val="7"/>
              <c:layout>
                <c:manualLayout>
                  <c:x val="0"/>
                  <c:y val="7.256601491634769E-2"/>
                </c:manualLayout>
              </c:layout>
              <c:dLblPos val="t"/>
              <c:showVal val="1"/>
            </c:dLbl>
            <c:dLbl>
              <c:idx val="9"/>
              <c:layout>
                <c:manualLayout>
                  <c:x val="7.0555032925682095E-3"/>
                  <c:y val="3.2251562185043416E-2"/>
                </c:manualLayout>
              </c:layout>
              <c:dLblPos val="t"/>
              <c:showVal val="1"/>
            </c:dLbl>
            <c:dLbl>
              <c:idx val="10"/>
              <c:layout>
                <c:manualLayout>
                  <c:x val="7.0555032925682095E-3"/>
                  <c:y val="6.4503124370086734E-2"/>
                </c:manualLayout>
              </c:layout>
              <c:dLblPos val="t"/>
              <c:showVal val="1"/>
            </c:dLbl>
            <c:numFmt formatCode="#,##0.0" sourceLinked="0"/>
            <c:dLblPos val="t"/>
            <c:showVal val="1"/>
          </c:dLbls>
          <c:cat>
            <c:numRef>
              <c:f>Hoja1!$A$2:$A$13</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Hoja1!$C$2:$C$13</c:f>
              <c:numCache>
                <c:formatCode>General</c:formatCode>
                <c:ptCount val="12"/>
                <c:pt idx="0">
                  <c:v>-0.87143654861267916</c:v>
                </c:pt>
                <c:pt idx="1">
                  <c:v>-2.1541282935959782</c:v>
                </c:pt>
                <c:pt idx="2">
                  <c:v>-3.0964875708667106</c:v>
                </c:pt>
                <c:pt idx="3">
                  <c:v>-1.3883198657846261</c:v>
                </c:pt>
                <c:pt idx="4">
                  <c:v>1.7921603601255593E-3</c:v>
                </c:pt>
                <c:pt idx="5">
                  <c:v>1.5869276426609176</c:v>
                </c:pt>
                <c:pt idx="6">
                  <c:v>-5.5602894292106381E-2</c:v>
                </c:pt>
                <c:pt idx="7">
                  <c:v>-1.8635047911662799</c:v>
                </c:pt>
                <c:pt idx="8">
                  <c:v>-0.68281267885642438</c:v>
                </c:pt>
                <c:pt idx="9">
                  <c:v>1.1634535432578541</c:v>
                </c:pt>
                <c:pt idx="10">
                  <c:v>-2.3400281302944137</c:v>
                </c:pt>
                <c:pt idx="11">
                  <c:v>0.35460847294393028</c:v>
                </c:pt>
              </c:numCache>
            </c:numRef>
          </c:val>
        </c:ser>
        <c:dLbls>
          <c:showVal val="1"/>
        </c:dLbls>
        <c:marker val="1"/>
        <c:axId val="101569664"/>
        <c:axId val="101571200"/>
      </c:lineChart>
      <c:catAx>
        <c:axId val="101569664"/>
        <c:scaling>
          <c:orientation val="minMax"/>
        </c:scaling>
        <c:axPos val="b"/>
        <c:numFmt formatCode="General" sourceLinked="1"/>
        <c:tickLblPos val="low"/>
        <c:crossAx val="101571200"/>
        <c:crosses val="autoZero"/>
        <c:auto val="1"/>
        <c:lblAlgn val="ctr"/>
        <c:lblOffset val="100"/>
      </c:catAx>
      <c:valAx>
        <c:axId val="101571200"/>
        <c:scaling>
          <c:orientation val="minMax"/>
        </c:scaling>
        <c:axPos val="l"/>
        <c:numFmt formatCode="General" sourceLinked="1"/>
        <c:tickLblPos val="nextTo"/>
        <c:spPr>
          <a:ln>
            <a:solidFill>
              <a:srgbClr val="7030A0"/>
            </a:solidFill>
          </a:ln>
        </c:spPr>
        <c:crossAx val="101569664"/>
        <c:crosses val="autoZero"/>
        <c:crossBetween val="between"/>
      </c:valAx>
      <c:spPr>
        <a:ln>
          <a:solidFill>
            <a:srgbClr val="7030A0"/>
          </a:solidFill>
        </a:ln>
      </c:spPr>
    </c:plotArea>
    <c:legend>
      <c:legendPos val="b"/>
      <c:layout/>
    </c:legend>
    <c:plotVisOnly val="1"/>
  </c:chart>
  <c:spPr>
    <a:ln>
      <a:solidFill>
        <a:srgbClr val="7030A0"/>
      </a:solidFill>
    </a:ln>
  </c:spPr>
  <c:txPr>
    <a:bodyPr/>
    <a:lstStyle/>
    <a:p>
      <a:pPr>
        <a:defRPr>
          <a:latin typeface="Verdana" pitchFamily="34" charset="0"/>
          <a:ea typeface="Verdana" pitchFamily="34" charset="0"/>
        </a:defRPr>
      </a:pPr>
      <a:endParaRPr lang="es-E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n-US" sz="1050">
                <a:solidFill>
                  <a:srgbClr val="7030A0"/>
                </a:solidFill>
              </a:rPr>
              <a:t>Participación</a:t>
            </a:r>
            <a:r>
              <a:rPr lang="en-US" sz="1050" baseline="0">
                <a:solidFill>
                  <a:srgbClr val="7030A0"/>
                </a:solidFill>
              </a:rPr>
              <a:t> de las rentas salariales en la distribución de la riqueza. Asturias</a:t>
            </a:r>
            <a:endParaRPr lang="en-US" sz="1050">
              <a:solidFill>
                <a:srgbClr val="7030A0"/>
              </a:solidFill>
            </a:endParaRPr>
          </a:p>
        </c:rich>
      </c:tx>
      <c:layout/>
      <c:spPr>
        <a:ln>
          <a:noFill/>
        </a:ln>
      </c:spPr>
    </c:title>
    <c:plotArea>
      <c:layout/>
      <c:lineChart>
        <c:grouping val="standard"/>
        <c:ser>
          <c:idx val="0"/>
          <c:order val="0"/>
          <c:tx>
            <c:strRef>
              <c:f>Hoja1!$B$1</c:f>
              <c:strCache>
                <c:ptCount val="1"/>
                <c:pt idx="0">
                  <c:v>Serie 1</c:v>
                </c:pt>
              </c:strCache>
            </c:strRef>
          </c:tx>
          <c:spPr>
            <a:ln>
              <a:solidFill>
                <a:srgbClr val="CCCC00"/>
              </a:solidFill>
            </a:ln>
          </c:spPr>
          <c:marker>
            <c:symbol val="none"/>
          </c:marker>
          <c:dLbls>
            <c:dLbl>
              <c:idx val="6"/>
              <c:layout>
                <c:manualLayout>
                  <c:x val="1.411100658513636E-2"/>
                  <c:y val="1.6125781092521677E-2"/>
                </c:manualLayout>
              </c:layout>
              <c:dLblPos val="t"/>
              <c:showVal val="1"/>
            </c:dLbl>
            <c:dLbl>
              <c:idx val="7"/>
              <c:layout>
                <c:manualLayout>
                  <c:x val="-2.3518344308560237E-3"/>
                  <c:y val="-2.4188671638782494E-2"/>
                </c:manualLayout>
              </c:layout>
              <c:dLblPos val="t"/>
              <c:showVal val="1"/>
            </c:dLbl>
            <c:numFmt formatCode="#,##0.0" sourceLinked="0"/>
            <c:dLblPos val="t"/>
            <c:showVal val="1"/>
          </c:dLbls>
          <c:cat>
            <c:numRef>
              <c:f>Hoja1!$A$2:$A$21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Hoja1!$B$2:$B$21</c:f>
              <c:numCache>
                <c:formatCode>General</c:formatCode>
                <c:ptCount val="20"/>
                <c:pt idx="0">
                  <c:v>48.5</c:v>
                </c:pt>
                <c:pt idx="1">
                  <c:v>47.9</c:v>
                </c:pt>
                <c:pt idx="2">
                  <c:v>47.5</c:v>
                </c:pt>
                <c:pt idx="3">
                  <c:v>47.8</c:v>
                </c:pt>
                <c:pt idx="4">
                  <c:v>47.2</c:v>
                </c:pt>
                <c:pt idx="5">
                  <c:v>46.5</c:v>
                </c:pt>
                <c:pt idx="6">
                  <c:v>46.4</c:v>
                </c:pt>
                <c:pt idx="7">
                  <c:v>46.6</c:v>
                </c:pt>
                <c:pt idx="8">
                  <c:v>48.3</c:v>
                </c:pt>
                <c:pt idx="9">
                  <c:v>49</c:v>
                </c:pt>
                <c:pt idx="10">
                  <c:v>48.3</c:v>
                </c:pt>
                <c:pt idx="11">
                  <c:v>47.8</c:v>
                </c:pt>
                <c:pt idx="12">
                  <c:v>46.4</c:v>
                </c:pt>
                <c:pt idx="13">
                  <c:v>45.6</c:v>
                </c:pt>
                <c:pt idx="14">
                  <c:v>45.8</c:v>
                </c:pt>
                <c:pt idx="15">
                  <c:v>45.3</c:v>
                </c:pt>
                <c:pt idx="16">
                  <c:v>45</c:v>
                </c:pt>
                <c:pt idx="17">
                  <c:v>44.8</c:v>
                </c:pt>
                <c:pt idx="18">
                  <c:v>45</c:v>
                </c:pt>
                <c:pt idx="19">
                  <c:v>45.8</c:v>
                </c:pt>
              </c:numCache>
            </c:numRef>
          </c:val>
        </c:ser>
        <c:dLbls>
          <c:showVal val="1"/>
        </c:dLbls>
        <c:marker val="1"/>
        <c:axId val="101509760"/>
        <c:axId val="101642624"/>
      </c:lineChart>
      <c:catAx>
        <c:axId val="101509760"/>
        <c:scaling>
          <c:orientation val="minMax"/>
        </c:scaling>
        <c:axPos val="b"/>
        <c:numFmt formatCode="General" sourceLinked="1"/>
        <c:tickLblPos val="nextTo"/>
        <c:spPr>
          <a:ln>
            <a:solidFill>
              <a:srgbClr val="7030A0"/>
            </a:solidFill>
          </a:ln>
        </c:spPr>
        <c:crossAx val="101642624"/>
        <c:crosses val="autoZero"/>
        <c:auto val="1"/>
        <c:lblAlgn val="ctr"/>
        <c:lblOffset val="100"/>
      </c:catAx>
      <c:valAx>
        <c:axId val="101642624"/>
        <c:scaling>
          <c:orientation val="minMax"/>
        </c:scaling>
        <c:axPos val="l"/>
        <c:numFmt formatCode="General" sourceLinked="1"/>
        <c:tickLblPos val="nextTo"/>
        <c:spPr>
          <a:ln>
            <a:solidFill>
              <a:srgbClr val="7030A0"/>
            </a:solidFill>
          </a:ln>
        </c:spPr>
        <c:crossAx val="101509760"/>
        <c:crosses val="autoZero"/>
        <c:crossBetween val="between"/>
      </c:valAx>
      <c:spPr>
        <a:ln>
          <a:solidFill>
            <a:srgbClr val="7030A0"/>
          </a:solidFill>
        </a:ln>
      </c:spPr>
    </c:plotArea>
    <c:plotVisOnly val="1"/>
  </c:chart>
  <c:spPr>
    <a:ln>
      <a:solidFill>
        <a:srgbClr val="7030A0"/>
      </a:solidFill>
    </a:ln>
  </c:spPr>
  <c:txPr>
    <a:bodyPr/>
    <a:lstStyle/>
    <a:p>
      <a:pPr>
        <a:defRPr>
          <a:latin typeface="Verdana" pitchFamily="34" charset="0"/>
          <a:ea typeface="Verdana" pitchFamily="34" charset="0"/>
        </a:defRPr>
      </a:pPr>
      <a:endParaRPr lang="es-E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sz="1100">
                <a:solidFill>
                  <a:srgbClr val="7030A0"/>
                </a:solidFill>
              </a:rPr>
              <a:t>Tasa de riesgo de pobreza y exclusión</a:t>
            </a:r>
            <a:r>
              <a:rPr lang="es-ES" sz="1100" baseline="0">
                <a:solidFill>
                  <a:srgbClr val="7030A0"/>
                </a:solidFill>
              </a:rPr>
              <a:t> social. 2019</a:t>
            </a:r>
            <a:endParaRPr lang="es-ES" sz="1100">
              <a:solidFill>
                <a:srgbClr val="7030A0"/>
              </a:solidFill>
            </a:endParaRPr>
          </a:p>
        </c:rich>
      </c:tx>
      <c:layout/>
      <c:spPr>
        <a:noFill/>
      </c:spPr>
    </c:title>
    <c:plotArea>
      <c:layout/>
      <c:barChart>
        <c:barDir val="col"/>
        <c:grouping val="clustered"/>
        <c:ser>
          <c:idx val="0"/>
          <c:order val="0"/>
          <c:tx>
            <c:strRef>
              <c:f>Hoja1!$B$1</c:f>
              <c:strCache>
                <c:ptCount val="1"/>
                <c:pt idx="0">
                  <c:v>Serie 1</c:v>
                </c:pt>
              </c:strCache>
            </c:strRef>
          </c:tx>
          <c:spPr>
            <a:solidFill>
              <a:schemeClr val="tx2">
                <a:lumMod val="60000"/>
                <a:lumOff val="40000"/>
              </a:schemeClr>
            </a:solidFill>
          </c:spPr>
          <c:dPt>
            <c:idx val="21"/>
            <c:spPr>
              <a:solidFill>
                <a:srgbClr val="558ED5"/>
              </a:solidFill>
            </c:spPr>
          </c:dPt>
          <c:dPt>
            <c:idx val="22"/>
            <c:spPr>
              <a:solidFill>
                <a:srgbClr val="993366"/>
              </a:solidFill>
            </c:spPr>
          </c:dPt>
          <c:dLbls>
            <c:dLbl>
              <c:idx val="15"/>
              <c:numFmt formatCode="#,##0.0" sourceLinked="0"/>
              <c:spPr>
                <a:solidFill>
                  <a:schemeClr val="bg1"/>
                </a:solidFill>
              </c:spPr>
              <c:txPr>
                <a:bodyPr rot="-5280000"/>
                <a:lstStyle/>
                <a:p>
                  <a:pPr>
                    <a:defRPr b="0"/>
                  </a:pPr>
                  <a:endParaRPr lang="es-ES"/>
                </a:p>
              </c:txPr>
            </c:dLbl>
            <c:dLbl>
              <c:idx val="21"/>
              <c:numFmt formatCode="#,##0.0" sourceLinked="0"/>
              <c:spPr>
                <a:solidFill>
                  <a:schemeClr val="bg1"/>
                </a:solidFill>
              </c:spPr>
              <c:txPr>
                <a:bodyPr rot="-5280000"/>
                <a:lstStyle/>
                <a:p>
                  <a:pPr>
                    <a:defRPr b="0"/>
                  </a:pPr>
                  <a:endParaRPr lang="es-ES"/>
                </a:p>
              </c:txPr>
            </c:dLbl>
            <c:dLbl>
              <c:idx val="22"/>
              <c:numFmt formatCode="#,##0.0" sourceLinked="0"/>
              <c:spPr>
                <a:solidFill>
                  <a:schemeClr val="bg1"/>
                </a:solidFill>
              </c:spPr>
              <c:txPr>
                <a:bodyPr rot="-5280000"/>
                <a:lstStyle/>
                <a:p>
                  <a:pPr>
                    <a:defRPr b="1"/>
                  </a:pPr>
                  <a:endParaRPr lang="es-ES"/>
                </a:p>
              </c:txPr>
            </c:dLbl>
            <c:numFmt formatCode="#,##0.0" sourceLinked="0"/>
            <c:spPr>
              <a:solidFill>
                <a:schemeClr val="bg1"/>
              </a:solidFill>
            </c:spPr>
            <c:txPr>
              <a:bodyPr rot="-5280000"/>
              <a:lstStyle/>
              <a:p>
                <a:pPr>
                  <a:defRPr/>
                </a:pPr>
                <a:endParaRPr lang="es-ES"/>
              </a:p>
            </c:txPr>
            <c:dLblPos val="inBase"/>
            <c:showVal val="1"/>
          </c:dLbls>
          <c:cat>
            <c:strRef>
              <c:f>Hoja1!$A$2:$A$27</c:f>
              <c:strCache>
                <c:ptCount val="26"/>
                <c:pt idx="0">
                  <c:v>R. Checa</c:v>
                </c:pt>
                <c:pt idx="1">
                  <c:v>Eslovenia</c:v>
                </c:pt>
                <c:pt idx="2">
                  <c:v>Eslovaquia</c:v>
                </c:pt>
                <c:pt idx="3">
                  <c:v>Finlandia</c:v>
                </c:pt>
                <c:pt idx="4">
                  <c:v>Holanda</c:v>
                </c:pt>
                <c:pt idx="5">
                  <c:v>Austria</c:v>
                </c:pt>
                <c:pt idx="6">
                  <c:v>Dinamarca</c:v>
                </c:pt>
                <c:pt idx="7">
                  <c:v>Alemania</c:v>
                </c:pt>
                <c:pt idx="8">
                  <c:v>Polonia</c:v>
                </c:pt>
                <c:pt idx="9">
                  <c:v>Suecia</c:v>
                </c:pt>
                <c:pt idx="10">
                  <c:v>Chipre</c:v>
                </c:pt>
                <c:pt idx="11">
                  <c:v>Francia</c:v>
                </c:pt>
                <c:pt idx="12">
                  <c:v>Bélgica</c:v>
                </c:pt>
                <c:pt idx="13">
                  <c:v>Hungría</c:v>
                </c:pt>
                <c:pt idx="14">
                  <c:v>Luxemburgo</c:v>
                </c:pt>
                <c:pt idx="15">
                  <c:v>Irlanda</c:v>
                </c:pt>
                <c:pt idx="16">
                  <c:v>Malta</c:v>
                </c:pt>
                <c:pt idx="17">
                  <c:v>Croacia</c:v>
                </c:pt>
                <c:pt idx="18">
                  <c:v>Portugal</c:v>
                </c:pt>
                <c:pt idx="19">
                  <c:v>Estonia</c:v>
                </c:pt>
                <c:pt idx="20">
                  <c:v>Italia</c:v>
                </c:pt>
                <c:pt idx="21">
                  <c:v>Lituania</c:v>
                </c:pt>
                <c:pt idx="22">
                  <c:v>España</c:v>
                </c:pt>
                <c:pt idx="23">
                  <c:v>Letonia</c:v>
                </c:pt>
                <c:pt idx="24">
                  <c:v>Grecia</c:v>
                </c:pt>
                <c:pt idx="25">
                  <c:v>Rumanía</c:v>
                </c:pt>
              </c:strCache>
            </c:strRef>
          </c:cat>
          <c:val>
            <c:numRef>
              <c:f>Hoja1!$B$2:$B$27</c:f>
              <c:numCache>
                <c:formatCode>General</c:formatCode>
                <c:ptCount val="26"/>
                <c:pt idx="0">
                  <c:v>12.1</c:v>
                </c:pt>
                <c:pt idx="1">
                  <c:v>13.7</c:v>
                </c:pt>
                <c:pt idx="2">
                  <c:v>14.9</c:v>
                </c:pt>
                <c:pt idx="3">
                  <c:v>15.4</c:v>
                </c:pt>
                <c:pt idx="4">
                  <c:v>15.9</c:v>
                </c:pt>
                <c:pt idx="5">
                  <c:v>16.5</c:v>
                </c:pt>
                <c:pt idx="6">
                  <c:v>17.3</c:v>
                </c:pt>
                <c:pt idx="7">
                  <c:v>17.3</c:v>
                </c:pt>
                <c:pt idx="8">
                  <c:v>17.899999999999999</c:v>
                </c:pt>
                <c:pt idx="9">
                  <c:v>18.399999999999999</c:v>
                </c:pt>
                <c:pt idx="10">
                  <c:v>18.600000000000001</c:v>
                </c:pt>
                <c:pt idx="11">
                  <c:v>18.899999999999999</c:v>
                </c:pt>
                <c:pt idx="12">
                  <c:v>20</c:v>
                </c:pt>
                <c:pt idx="13">
                  <c:v>20</c:v>
                </c:pt>
                <c:pt idx="14">
                  <c:v>20.100000000000001</c:v>
                </c:pt>
                <c:pt idx="15">
                  <c:v>20.6</c:v>
                </c:pt>
                <c:pt idx="16">
                  <c:v>20.8</c:v>
                </c:pt>
                <c:pt idx="17">
                  <c:v>20.8</c:v>
                </c:pt>
                <c:pt idx="18">
                  <c:v>21.1</c:v>
                </c:pt>
                <c:pt idx="19">
                  <c:v>23.7</c:v>
                </c:pt>
                <c:pt idx="20">
                  <c:v>24.6</c:v>
                </c:pt>
                <c:pt idx="21">
                  <c:v>25.5</c:v>
                </c:pt>
                <c:pt idx="22">
                  <c:v>26.2</c:v>
                </c:pt>
                <c:pt idx="23">
                  <c:v>26.7</c:v>
                </c:pt>
                <c:pt idx="24">
                  <c:v>29</c:v>
                </c:pt>
                <c:pt idx="25">
                  <c:v>36.300000000000004</c:v>
                </c:pt>
              </c:numCache>
            </c:numRef>
          </c:val>
        </c:ser>
        <c:dLbls>
          <c:showVal val="1"/>
        </c:dLbls>
        <c:axId val="101720448"/>
        <c:axId val="101721984"/>
      </c:barChart>
      <c:lineChart>
        <c:grouping val="standard"/>
        <c:ser>
          <c:idx val="1"/>
          <c:order val="1"/>
          <c:tx>
            <c:strRef>
              <c:f>Hoja1!$C$1</c:f>
              <c:strCache>
                <c:ptCount val="1"/>
                <c:pt idx="0">
                  <c:v>Serie 2</c:v>
                </c:pt>
              </c:strCache>
            </c:strRef>
          </c:tx>
          <c:marker>
            <c:symbol val="none"/>
          </c:marker>
          <c:dLbls>
            <c:dLbl>
              <c:idx val="0"/>
              <c:delete val="1"/>
            </c:dLbl>
            <c:dLbl>
              <c:idx val="1"/>
              <c:delete val="1"/>
            </c:dLbl>
            <c:dLbl>
              <c:idx val="2"/>
              <c:delete val="1"/>
            </c:dLbl>
            <c:dLbl>
              <c:idx val="3"/>
              <c:layout>
                <c:manualLayout>
                  <c:x val="-4.7036688617121871E-3"/>
                  <c:y val="-4.0314452731304178E-2"/>
                </c:manualLayout>
              </c:layout>
              <c:tx>
                <c:rich>
                  <a:bodyPr/>
                  <a:lstStyle/>
                  <a:p>
                    <a:pPr>
                      <a:defRPr b="1"/>
                    </a:pPr>
                    <a:r>
                      <a:rPr lang="en-US" b="1"/>
                      <a:t>UE-27 =21,1</a:t>
                    </a:r>
                  </a:p>
                </c:rich>
              </c:tx>
              <c:spPr/>
              <c:showVal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dLbl>
              <c:idx val="26"/>
              <c:delete val="1"/>
            </c:dLbl>
            <c:dLbl>
              <c:idx val="27"/>
              <c:delete val="1"/>
            </c:dLbl>
            <c:showVal val="1"/>
          </c:dLbls>
          <c:cat>
            <c:strRef>
              <c:f>Hoja1!$A$2:$A$27</c:f>
              <c:strCache>
                <c:ptCount val="26"/>
                <c:pt idx="0">
                  <c:v>R. Checa</c:v>
                </c:pt>
                <c:pt idx="1">
                  <c:v>Eslovenia</c:v>
                </c:pt>
                <c:pt idx="2">
                  <c:v>Eslovaquia</c:v>
                </c:pt>
                <c:pt idx="3">
                  <c:v>Finlandia</c:v>
                </c:pt>
                <c:pt idx="4">
                  <c:v>Holanda</c:v>
                </c:pt>
                <c:pt idx="5">
                  <c:v>Austria</c:v>
                </c:pt>
                <c:pt idx="6">
                  <c:v>Dinamarca</c:v>
                </c:pt>
                <c:pt idx="7">
                  <c:v>Alemania</c:v>
                </c:pt>
                <c:pt idx="8">
                  <c:v>Polonia</c:v>
                </c:pt>
                <c:pt idx="9">
                  <c:v>Suecia</c:v>
                </c:pt>
                <c:pt idx="10">
                  <c:v>Chipre</c:v>
                </c:pt>
                <c:pt idx="11">
                  <c:v>Francia</c:v>
                </c:pt>
                <c:pt idx="12">
                  <c:v>Bélgica</c:v>
                </c:pt>
                <c:pt idx="13">
                  <c:v>Hungría</c:v>
                </c:pt>
                <c:pt idx="14">
                  <c:v>Luxemburgo</c:v>
                </c:pt>
                <c:pt idx="15">
                  <c:v>Irlanda</c:v>
                </c:pt>
                <c:pt idx="16">
                  <c:v>Malta</c:v>
                </c:pt>
                <c:pt idx="17">
                  <c:v>Croacia</c:v>
                </c:pt>
                <c:pt idx="18">
                  <c:v>Portugal</c:v>
                </c:pt>
                <c:pt idx="19">
                  <c:v>Estonia</c:v>
                </c:pt>
                <c:pt idx="20">
                  <c:v>Italia</c:v>
                </c:pt>
                <c:pt idx="21">
                  <c:v>Lituania</c:v>
                </c:pt>
                <c:pt idx="22">
                  <c:v>España</c:v>
                </c:pt>
                <c:pt idx="23">
                  <c:v>Letonia</c:v>
                </c:pt>
                <c:pt idx="24">
                  <c:v>Grecia</c:v>
                </c:pt>
                <c:pt idx="25">
                  <c:v>Rumanía</c:v>
                </c:pt>
              </c:strCache>
            </c:strRef>
          </c:cat>
          <c:val>
            <c:numRef>
              <c:f>Hoja1!$C$2:$C$27</c:f>
              <c:numCache>
                <c:formatCode>General</c:formatCode>
                <c:ptCount val="26"/>
                <c:pt idx="0">
                  <c:v>21.1</c:v>
                </c:pt>
                <c:pt idx="1">
                  <c:v>21.1</c:v>
                </c:pt>
                <c:pt idx="2">
                  <c:v>21.1</c:v>
                </c:pt>
                <c:pt idx="3">
                  <c:v>21.1</c:v>
                </c:pt>
                <c:pt idx="4">
                  <c:v>21.1</c:v>
                </c:pt>
                <c:pt idx="5">
                  <c:v>21.1</c:v>
                </c:pt>
                <c:pt idx="6">
                  <c:v>21.1</c:v>
                </c:pt>
                <c:pt idx="7">
                  <c:v>21.1</c:v>
                </c:pt>
                <c:pt idx="8">
                  <c:v>21.1</c:v>
                </c:pt>
                <c:pt idx="9">
                  <c:v>21.1</c:v>
                </c:pt>
                <c:pt idx="10">
                  <c:v>21.1</c:v>
                </c:pt>
                <c:pt idx="11">
                  <c:v>21.1</c:v>
                </c:pt>
                <c:pt idx="12">
                  <c:v>21.1</c:v>
                </c:pt>
                <c:pt idx="13">
                  <c:v>21.1</c:v>
                </c:pt>
                <c:pt idx="14">
                  <c:v>21.1</c:v>
                </c:pt>
                <c:pt idx="15">
                  <c:v>21.1</c:v>
                </c:pt>
                <c:pt idx="16">
                  <c:v>21.1</c:v>
                </c:pt>
                <c:pt idx="17">
                  <c:v>21.1</c:v>
                </c:pt>
                <c:pt idx="18">
                  <c:v>21.1</c:v>
                </c:pt>
                <c:pt idx="19">
                  <c:v>21.1</c:v>
                </c:pt>
                <c:pt idx="20">
                  <c:v>21.1</c:v>
                </c:pt>
                <c:pt idx="21">
                  <c:v>21.1</c:v>
                </c:pt>
                <c:pt idx="22">
                  <c:v>21.1</c:v>
                </c:pt>
                <c:pt idx="23">
                  <c:v>21.1</c:v>
                </c:pt>
                <c:pt idx="24">
                  <c:v>21.1</c:v>
                </c:pt>
                <c:pt idx="25">
                  <c:v>21.1</c:v>
                </c:pt>
              </c:numCache>
            </c:numRef>
          </c:val>
        </c:ser>
        <c:marker val="1"/>
        <c:axId val="101720448"/>
        <c:axId val="101721984"/>
      </c:lineChart>
      <c:catAx>
        <c:axId val="101720448"/>
        <c:scaling>
          <c:orientation val="minMax"/>
        </c:scaling>
        <c:axPos val="b"/>
        <c:tickLblPos val="nextTo"/>
        <c:spPr>
          <a:ln>
            <a:solidFill>
              <a:srgbClr val="7030A0"/>
            </a:solidFill>
          </a:ln>
        </c:spPr>
        <c:txPr>
          <a:bodyPr rot="-4140000"/>
          <a:lstStyle/>
          <a:p>
            <a:pPr>
              <a:defRPr/>
            </a:pPr>
            <a:endParaRPr lang="es-ES"/>
          </a:p>
        </c:txPr>
        <c:crossAx val="101721984"/>
        <c:crosses val="autoZero"/>
        <c:auto val="1"/>
        <c:lblAlgn val="ctr"/>
        <c:lblOffset val="100"/>
      </c:catAx>
      <c:valAx>
        <c:axId val="101721984"/>
        <c:scaling>
          <c:orientation val="minMax"/>
        </c:scaling>
        <c:axPos val="l"/>
        <c:numFmt formatCode="General" sourceLinked="1"/>
        <c:tickLblPos val="nextTo"/>
        <c:spPr>
          <a:ln>
            <a:solidFill>
              <a:srgbClr val="7030A0"/>
            </a:solidFill>
          </a:ln>
        </c:spPr>
        <c:crossAx val="101720448"/>
        <c:crosses val="autoZero"/>
        <c:crossBetween val="between"/>
      </c:valAx>
      <c:spPr>
        <a:ln>
          <a:solidFill>
            <a:srgbClr val="7030A0"/>
          </a:solidFill>
        </a:ln>
      </c:spPr>
    </c:plotArea>
    <c:plotVisOnly val="1"/>
    <c:dispBlanksAs val="gap"/>
  </c:chart>
  <c:spPr>
    <a:ln>
      <a:solidFill>
        <a:srgbClr val="7030A0"/>
      </a:solidFill>
    </a:ln>
  </c:spPr>
  <c:txPr>
    <a:bodyPr/>
    <a:lstStyle/>
    <a:p>
      <a:pPr>
        <a:defRPr>
          <a:latin typeface="Verdana" pitchFamily="34" charset="0"/>
          <a:ea typeface="Verdana" pitchFamily="34" charset="0"/>
        </a:defRPr>
      </a:pPr>
      <a:endParaRPr lang="es-E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sz="1100"/>
            </a:pPr>
            <a:r>
              <a:rPr lang="es-ES" sz="1100">
                <a:solidFill>
                  <a:srgbClr val="7030A0"/>
                </a:solidFill>
              </a:rPr>
              <a:t>Tasas de pobreza y exclusión</a:t>
            </a:r>
            <a:r>
              <a:rPr lang="es-ES" sz="1100" baseline="0">
                <a:solidFill>
                  <a:srgbClr val="7030A0"/>
                </a:solidFill>
              </a:rPr>
              <a:t> social menores 16 años. 2019</a:t>
            </a:r>
            <a:endParaRPr lang="es-ES" sz="1100">
              <a:solidFill>
                <a:srgbClr val="7030A0"/>
              </a:solidFill>
            </a:endParaRPr>
          </a:p>
        </c:rich>
      </c:tx>
      <c:layout/>
      <c:spPr>
        <a:noFill/>
      </c:spPr>
    </c:title>
    <c:plotArea>
      <c:layout/>
      <c:barChart>
        <c:barDir val="bar"/>
        <c:grouping val="clustered"/>
        <c:ser>
          <c:idx val="0"/>
          <c:order val="0"/>
          <c:tx>
            <c:strRef>
              <c:f>Hoja1!$B$1</c:f>
              <c:strCache>
                <c:ptCount val="1"/>
                <c:pt idx="0">
                  <c:v>Serie 1</c:v>
                </c:pt>
              </c:strCache>
            </c:strRef>
          </c:tx>
          <c:spPr>
            <a:solidFill>
              <a:srgbClr val="558ED5"/>
            </a:solidFill>
          </c:spPr>
          <c:dPt>
            <c:idx val="14"/>
            <c:spPr>
              <a:solidFill>
                <a:srgbClr val="993366"/>
              </a:solidFill>
            </c:spPr>
          </c:dPt>
          <c:dPt>
            <c:idx val="25"/>
            <c:spPr>
              <a:solidFill>
                <a:srgbClr val="993366"/>
              </a:solidFill>
            </c:spPr>
          </c:dPt>
          <c:dLbls>
            <c:dLbl>
              <c:idx val="14"/>
              <c:numFmt formatCode="#,##0.0" sourceLinked="0"/>
              <c:spPr/>
              <c:txPr>
                <a:bodyPr/>
                <a:lstStyle/>
                <a:p>
                  <a:pPr>
                    <a:defRPr b="1"/>
                  </a:pPr>
                  <a:endParaRPr lang="es-ES"/>
                </a:p>
              </c:txPr>
            </c:dLbl>
            <c:dLbl>
              <c:idx val="17"/>
              <c:numFmt formatCode="#,##0.0" sourceLinked="0"/>
              <c:spPr/>
              <c:txPr>
                <a:bodyPr/>
                <a:lstStyle/>
                <a:p>
                  <a:pPr>
                    <a:defRPr b="0"/>
                  </a:pPr>
                  <a:endParaRPr lang="es-ES"/>
                </a:p>
              </c:txPr>
            </c:dLbl>
            <c:dLbl>
              <c:idx val="22"/>
              <c:numFmt formatCode="#,##0.0" sourceLinked="0"/>
              <c:spPr/>
              <c:txPr>
                <a:bodyPr/>
                <a:lstStyle/>
                <a:p>
                  <a:pPr>
                    <a:defRPr b="0"/>
                  </a:pPr>
                  <a:endParaRPr lang="es-ES"/>
                </a:p>
              </c:txPr>
            </c:dLbl>
            <c:dLbl>
              <c:idx val="25"/>
              <c:numFmt formatCode="#,##0.0" sourceLinked="0"/>
              <c:spPr/>
              <c:txPr>
                <a:bodyPr/>
                <a:lstStyle/>
                <a:p>
                  <a:pPr>
                    <a:defRPr b="1"/>
                  </a:pPr>
                  <a:endParaRPr lang="es-ES"/>
                </a:p>
              </c:txPr>
            </c:dLbl>
            <c:dLbl>
              <c:idx val="27"/>
              <c:layout>
                <c:manualLayout>
                  <c:x val="-1.175917215428034E-2"/>
                  <c:y val="0"/>
                </c:manualLayout>
              </c:layout>
              <c:dLblPos val="outEnd"/>
              <c:showVal val="1"/>
            </c:dLbl>
            <c:numFmt formatCode="#,##0.0" sourceLinked="0"/>
            <c:dLblPos val="outEnd"/>
            <c:showVal val="1"/>
          </c:dLbls>
          <c:cat>
            <c:strRef>
              <c:f>Hoja1!$A$2:$A$29</c:f>
              <c:strCache>
                <c:ptCount val="28"/>
                <c:pt idx="0">
                  <c:v>Eslovenia</c:v>
                </c:pt>
                <c:pt idx="1">
                  <c:v>R. Checa</c:v>
                </c:pt>
                <c:pt idx="2">
                  <c:v>Finlandia</c:v>
                </c:pt>
                <c:pt idx="3">
                  <c:v>Dinamarca</c:v>
                </c:pt>
                <c:pt idx="4">
                  <c:v>Países Bajos</c:v>
                </c:pt>
                <c:pt idx="5">
                  <c:v>Alemania</c:v>
                </c:pt>
                <c:pt idx="6">
                  <c:v>Polonia</c:v>
                </c:pt>
                <c:pt idx="7">
                  <c:v>Croacia</c:v>
                </c:pt>
                <c:pt idx="8">
                  <c:v>Letonia</c:v>
                </c:pt>
                <c:pt idx="9">
                  <c:v>Estonia</c:v>
                </c:pt>
                <c:pt idx="10">
                  <c:v>Austria</c:v>
                </c:pt>
                <c:pt idx="11">
                  <c:v>Chipre</c:v>
                </c:pt>
                <c:pt idx="12">
                  <c:v>Eslovaquia</c:v>
                </c:pt>
                <c:pt idx="13">
                  <c:v>Portugal</c:v>
                </c:pt>
                <c:pt idx="14">
                  <c:v>UE-27</c:v>
                </c:pt>
                <c:pt idx="15">
                  <c:v>Suecia</c:v>
                </c:pt>
                <c:pt idx="16">
                  <c:v>Bélgica</c:v>
                </c:pt>
                <c:pt idx="17">
                  <c:v>Francia</c:v>
                </c:pt>
                <c:pt idx="18">
                  <c:v>Hungría</c:v>
                </c:pt>
                <c:pt idx="19">
                  <c:v>Irlanda</c:v>
                </c:pt>
                <c:pt idx="20">
                  <c:v>Malta</c:v>
                </c:pt>
                <c:pt idx="21">
                  <c:v>Luxemburgo</c:v>
                </c:pt>
                <c:pt idx="22">
                  <c:v>Lituania</c:v>
                </c:pt>
                <c:pt idx="23">
                  <c:v>Italia</c:v>
                </c:pt>
                <c:pt idx="24">
                  <c:v>Grecia</c:v>
                </c:pt>
                <c:pt idx="25">
                  <c:v>España</c:v>
                </c:pt>
                <c:pt idx="26">
                  <c:v>Bulgaria</c:v>
                </c:pt>
                <c:pt idx="27">
                  <c:v>Rumanía</c:v>
                </c:pt>
              </c:strCache>
            </c:strRef>
          </c:cat>
          <c:val>
            <c:numRef>
              <c:f>Hoja1!$B$2:$B$29</c:f>
              <c:numCache>
                <c:formatCode>General</c:formatCode>
                <c:ptCount val="28"/>
                <c:pt idx="0">
                  <c:v>11.7</c:v>
                </c:pt>
                <c:pt idx="1">
                  <c:v>13</c:v>
                </c:pt>
                <c:pt idx="2">
                  <c:v>13.2</c:v>
                </c:pt>
                <c:pt idx="3">
                  <c:v>14.2</c:v>
                </c:pt>
                <c:pt idx="4">
                  <c:v>14.9</c:v>
                </c:pt>
                <c:pt idx="5">
                  <c:v>15.5</c:v>
                </c:pt>
                <c:pt idx="6">
                  <c:v>15.6</c:v>
                </c:pt>
                <c:pt idx="7">
                  <c:v>18.5</c:v>
                </c:pt>
                <c:pt idx="8">
                  <c:v>18.5</c:v>
                </c:pt>
                <c:pt idx="9">
                  <c:v>19.3</c:v>
                </c:pt>
                <c:pt idx="10">
                  <c:v>20.100000000000001</c:v>
                </c:pt>
                <c:pt idx="11">
                  <c:v>20.5</c:v>
                </c:pt>
                <c:pt idx="12">
                  <c:v>20.7</c:v>
                </c:pt>
                <c:pt idx="13">
                  <c:v>20.9</c:v>
                </c:pt>
                <c:pt idx="14">
                  <c:v>22.6</c:v>
                </c:pt>
                <c:pt idx="15">
                  <c:v>22.7</c:v>
                </c:pt>
                <c:pt idx="16">
                  <c:v>23</c:v>
                </c:pt>
                <c:pt idx="17">
                  <c:v>23.7</c:v>
                </c:pt>
                <c:pt idx="18">
                  <c:v>23.8</c:v>
                </c:pt>
                <c:pt idx="19">
                  <c:v>23.9</c:v>
                </c:pt>
                <c:pt idx="20">
                  <c:v>24.2</c:v>
                </c:pt>
                <c:pt idx="21">
                  <c:v>26.1</c:v>
                </c:pt>
                <c:pt idx="22">
                  <c:v>26.2</c:v>
                </c:pt>
                <c:pt idx="23">
                  <c:v>27.2</c:v>
                </c:pt>
                <c:pt idx="24">
                  <c:v>30.5</c:v>
                </c:pt>
                <c:pt idx="25">
                  <c:v>31.1</c:v>
                </c:pt>
                <c:pt idx="26">
                  <c:v>36</c:v>
                </c:pt>
                <c:pt idx="27">
                  <c:v>38.9</c:v>
                </c:pt>
              </c:numCache>
            </c:numRef>
          </c:val>
        </c:ser>
        <c:dLbls>
          <c:showVal val="1"/>
        </c:dLbls>
        <c:axId val="101888384"/>
        <c:axId val="101889920"/>
      </c:barChart>
      <c:catAx>
        <c:axId val="101888384"/>
        <c:scaling>
          <c:orientation val="minMax"/>
        </c:scaling>
        <c:axPos val="l"/>
        <c:tickLblPos val="nextTo"/>
        <c:spPr>
          <a:ln>
            <a:solidFill>
              <a:srgbClr val="7030A0"/>
            </a:solidFill>
          </a:ln>
        </c:spPr>
        <c:crossAx val="101889920"/>
        <c:crosses val="autoZero"/>
        <c:auto val="1"/>
        <c:lblAlgn val="ctr"/>
        <c:lblOffset val="100"/>
      </c:catAx>
      <c:valAx>
        <c:axId val="101889920"/>
        <c:scaling>
          <c:orientation val="minMax"/>
          <c:max val="40"/>
        </c:scaling>
        <c:axPos val="b"/>
        <c:numFmt formatCode="General" sourceLinked="1"/>
        <c:tickLblPos val="nextTo"/>
        <c:spPr>
          <a:ln>
            <a:solidFill>
              <a:srgbClr val="7030A0"/>
            </a:solidFill>
          </a:ln>
        </c:spPr>
        <c:crossAx val="101888384"/>
        <c:crosses val="autoZero"/>
        <c:crossBetween val="between"/>
      </c:valAx>
      <c:spPr>
        <a:ln>
          <a:solidFill>
            <a:srgbClr val="7030A0"/>
          </a:solidFill>
        </a:ln>
      </c:spPr>
    </c:plotArea>
    <c:plotVisOnly val="1"/>
  </c:chart>
  <c:spPr>
    <a:ln>
      <a:solidFill>
        <a:srgbClr val="7030A0"/>
      </a:solidFill>
    </a:ln>
  </c:spPr>
  <c:txPr>
    <a:bodyPr/>
    <a:lstStyle/>
    <a:p>
      <a:pPr>
        <a:defRPr>
          <a:latin typeface="Verdana" pitchFamily="34" charset="0"/>
          <a:ea typeface="Verdana" pitchFamily="34" charset="0"/>
        </a:defRPr>
      </a:pPr>
      <a:endParaRPr lang="es-E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sz="1100">
                <a:solidFill>
                  <a:srgbClr val="7030A0"/>
                </a:solidFill>
              </a:rPr>
              <a:t>Tasas de riesgo</a:t>
            </a:r>
            <a:r>
              <a:rPr lang="es-ES" sz="1100" baseline="0">
                <a:solidFill>
                  <a:srgbClr val="7030A0"/>
                </a:solidFill>
              </a:rPr>
              <a:t> de pobreza o exclusión social (Tasa AROPE)</a:t>
            </a:r>
            <a:endParaRPr lang="es-ES" sz="1100">
              <a:solidFill>
                <a:srgbClr val="7030A0"/>
              </a:solidFill>
            </a:endParaRPr>
          </a:p>
        </c:rich>
      </c:tx>
      <c:layout>
        <c:manualLayout>
          <c:xMode val="edge"/>
          <c:yMode val="edge"/>
          <c:x val="0.11795198248188044"/>
          <c:y val="1.830627332203005E-2"/>
        </c:manualLayout>
      </c:layout>
    </c:title>
    <c:plotArea>
      <c:layout>
        <c:manualLayout>
          <c:layoutTarget val="inner"/>
          <c:xMode val="edge"/>
          <c:yMode val="edge"/>
          <c:x val="8.8275843264008252E-2"/>
          <c:y val="0.18680398774056264"/>
          <c:w val="0.88242241698452173"/>
          <c:h val="0.50088558398993877"/>
        </c:manualLayout>
      </c:layout>
      <c:lineChart>
        <c:grouping val="standard"/>
        <c:ser>
          <c:idx val="0"/>
          <c:order val="0"/>
          <c:tx>
            <c:strRef>
              <c:f>Hoja1!$B$1</c:f>
              <c:strCache>
                <c:ptCount val="1"/>
                <c:pt idx="0">
                  <c:v>Asturias</c:v>
                </c:pt>
              </c:strCache>
            </c:strRef>
          </c:tx>
          <c:marker>
            <c:symbol val="none"/>
          </c:marker>
          <c:dLbls>
            <c:dLbl>
              <c:idx val="0"/>
              <c:layout>
                <c:manualLayout>
                  <c:x val="-6.0711069373209081E-2"/>
                  <c:y val="3.9861734264349032E-2"/>
                </c:manualLayout>
              </c:layout>
              <c:dLblPos val="r"/>
              <c:showVal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Pos val="t"/>
            <c:showVal val="1"/>
          </c:dLbls>
          <c:cat>
            <c:strRef>
              <c:f>Hoja1!$A$2:$A$14</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strCache>
            </c:strRef>
          </c:cat>
          <c:val>
            <c:numRef>
              <c:f>Hoja1!$B$2:$B$14</c:f>
              <c:numCache>
                <c:formatCode>#,##0.0</c:formatCode>
                <c:ptCount val="13"/>
                <c:pt idx="0">
                  <c:v>19.5</c:v>
                </c:pt>
                <c:pt idx="1">
                  <c:v>18.8</c:v>
                </c:pt>
                <c:pt idx="2">
                  <c:v>16.5</c:v>
                </c:pt>
                <c:pt idx="3">
                  <c:v>20.399999999999999</c:v>
                </c:pt>
                <c:pt idx="4">
                  <c:v>24.5</c:v>
                </c:pt>
                <c:pt idx="5">
                  <c:v>21.8</c:v>
                </c:pt>
                <c:pt idx="6">
                  <c:v>23.4</c:v>
                </c:pt>
                <c:pt idx="7">
                  <c:v>24.2</c:v>
                </c:pt>
                <c:pt idx="8">
                  <c:v>18.5</c:v>
                </c:pt>
                <c:pt idx="9">
                  <c:v>17.2</c:v>
                </c:pt>
                <c:pt idx="10">
                  <c:v>20.9</c:v>
                </c:pt>
                <c:pt idx="11">
                  <c:v>24.6</c:v>
                </c:pt>
                <c:pt idx="12">
                  <c:v>27.7</c:v>
                </c:pt>
              </c:numCache>
            </c:numRef>
          </c:val>
        </c:ser>
        <c:ser>
          <c:idx val="1"/>
          <c:order val="1"/>
          <c:tx>
            <c:strRef>
              <c:f>Hoja1!$C$1</c:f>
              <c:strCache>
                <c:ptCount val="1"/>
                <c:pt idx="0">
                  <c:v>España</c:v>
                </c:pt>
              </c:strCache>
            </c:strRef>
          </c:tx>
          <c:marker>
            <c:symbol val="none"/>
          </c:marker>
          <c:dLbls>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layout>
                <c:manualLayout>
                  <c:x val="9.1743119266053923E-3"/>
                  <c:y val="0.12371134020618556"/>
                </c:manualLayout>
              </c:layout>
              <c:dLblPos val="t"/>
              <c:showVal val="1"/>
            </c:dLbl>
            <c:dLblPos val="t"/>
            <c:showVal val="1"/>
          </c:dLbls>
          <c:cat>
            <c:strRef>
              <c:f>Hoja1!$A$2:$A$14</c:f>
              <c:strCach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strCache>
            </c:strRef>
          </c:cat>
          <c:val>
            <c:numRef>
              <c:f>Hoja1!$C$2:$C$14</c:f>
              <c:numCache>
                <c:formatCode>#,##0.0</c:formatCode>
                <c:ptCount val="13"/>
                <c:pt idx="0">
                  <c:v>23.8</c:v>
                </c:pt>
                <c:pt idx="1">
                  <c:v>24.7</c:v>
                </c:pt>
                <c:pt idx="2">
                  <c:v>26.1</c:v>
                </c:pt>
                <c:pt idx="3">
                  <c:v>26.7</c:v>
                </c:pt>
                <c:pt idx="4">
                  <c:v>27.2</c:v>
                </c:pt>
                <c:pt idx="5">
                  <c:v>27.3</c:v>
                </c:pt>
                <c:pt idx="6">
                  <c:v>29.2</c:v>
                </c:pt>
                <c:pt idx="7">
                  <c:v>28.6</c:v>
                </c:pt>
                <c:pt idx="8">
                  <c:v>27.9</c:v>
                </c:pt>
                <c:pt idx="9">
                  <c:v>26.6</c:v>
                </c:pt>
                <c:pt idx="10">
                  <c:v>26.1</c:v>
                </c:pt>
                <c:pt idx="11">
                  <c:v>25.3</c:v>
                </c:pt>
                <c:pt idx="12">
                  <c:v>26.4</c:v>
                </c:pt>
              </c:numCache>
            </c:numRef>
          </c:val>
        </c:ser>
        <c:dLbls>
          <c:showVal val="1"/>
        </c:dLbls>
        <c:marker val="1"/>
        <c:axId val="101915648"/>
        <c:axId val="101937920"/>
      </c:lineChart>
      <c:catAx>
        <c:axId val="101915648"/>
        <c:scaling>
          <c:orientation val="minMax"/>
        </c:scaling>
        <c:axPos val="b"/>
        <c:tickLblPos val="nextTo"/>
        <c:spPr>
          <a:ln>
            <a:solidFill>
              <a:srgbClr val="8064A2">
                <a:lumMod val="60000"/>
                <a:lumOff val="40000"/>
              </a:srgbClr>
            </a:solidFill>
          </a:ln>
        </c:spPr>
        <c:txPr>
          <a:bodyPr rot="-1920000"/>
          <a:lstStyle/>
          <a:p>
            <a:pPr>
              <a:defRPr sz="900"/>
            </a:pPr>
            <a:endParaRPr lang="es-ES"/>
          </a:p>
        </c:txPr>
        <c:crossAx val="101937920"/>
        <c:crosses val="autoZero"/>
        <c:auto val="1"/>
        <c:lblAlgn val="ctr"/>
        <c:lblOffset val="100"/>
      </c:catAx>
      <c:valAx>
        <c:axId val="101937920"/>
        <c:scaling>
          <c:orientation val="minMax"/>
          <c:min val="15"/>
        </c:scaling>
        <c:axPos val="l"/>
        <c:numFmt formatCode="#,##0" sourceLinked="0"/>
        <c:tickLblPos val="nextTo"/>
        <c:spPr>
          <a:ln>
            <a:solidFill>
              <a:srgbClr val="8064A2">
                <a:lumMod val="60000"/>
                <a:lumOff val="40000"/>
              </a:srgbClr>
            </a:solidFill>
          </a:ln>
        </c:spPr>
        <c:crossAx val="101915648"/>
        <c:crosses val="autoZero"/>
        <c:crossBetween val="between"/>
      </c:valAx>
      <c:spPr>
        <a:ln>
          <a:solidFill>
            <a:srgbClr val="8064A2">
              <a:lumMod val="60000"/>
              <a:lumOff val="40000"/>
            </a:srgbClr>
          </a:solidFill>
        </a:ln>
      </c:spPr>
    </c:plotArea>
    <c:legend>
      <c:legendPos val="b"/>
      <c:layout/>
    </c:legend>
    <c:plotVisOnly val="1"/>
  </c:chart>
  <c:spPr>
    <a:ln>
      <a:solidFill>
        <a:srgbClr val="8064A2">
          <a:lumMod val="60000"/>
          <a:lumOff val="40000"/>
        </a:srgbClr>
      </a:solidFill>
    </a:ln>
  </c:spPr>
  <c:txPr>
    <a:bodyPr/>
    <a:lstStyle/>
    <a:p>
      <a:pPr>
        <a:defRPr>
          <a:latin typeface="Verdana" pitchFamily="34" charset="0"/>
          <a:ea typeface="Verdana" pitchFamily="34" charset="0"/>
        </a:defRPr>
      </a:pPr>
      <a:endParaRPr lang="es-E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s-ES"/>
  <c:chart>
    <c:title>
      <c:tx>
        <c:rich>
          <a:bodyPr/>
          <a:lstStyle/>
          <a:p>
            <a:pPr>
              <a:defRPr/>
            </a:pPr>
            <a:r>
              <a:rPr lang="es-ES" sz="1100">
                <a:solidFill>
                  <a:srgbClr val="7030A0"/>
                </a:solidFill>
              </a:rPr>
              <a:t>Tasa de pobreza o exclusión</a:t>
            </a:r>
            <a:r>
              <a:rPr lang="es-ES" sz="1100" baseline="0">
                <a:solidFill>
                  <a:srgbClr val="7030A0"/>
                </a:solidFill>
              </a:rPr>
              <a:t> social (Tasa Arope) por CCAA. 2020</a:t>
            </a:r>
            <a:endParaRPr lang="es-ES" sz="1100">
              <a:solidFill>
                <a:srgbClr val="7030A0"/>
              </a:solidFill>
            </a:endParaRPr>
          </a:p>
        </c:rich>
      </c:tx>
      <c:layout/>
    </c:title>
    <c:plotArea>
      <c:layout/>
      <c:barChart>
        <c:barDir val="col"/>
        <c:grouping val="clustered"/>
        <c:ser>
          <c:idx val="0"/>
          <c:order val="0"/>
          <c:tx>
            <c:strRef>
              <c:f>Hoja1!$B$1</c:f>
              <c:strCache>
                <c:ptCount val="1"/>
                <c:pt idx="0">
                  <c:v>Serie 1</c:v>
                </c:pt>
              </c:strCache>
            </c:strRef>
          </c:tx>
          <c:dLbls>
            <c:dLbl>
              <c:idx val="4"/>
              <c:numFmt formatCode="#,##0.0" sourceLinked="0"/>
              <c:spPr>
                <a:solidFill>
                  <a:schemeClr val="bg1"/>
                </a:solidFill>
              </c:spPr>
              <c:txPr>
                <a:bodyPr rot="-2820000"/>
                <a:lstStyle/>
                <a:p>
                  <a:pPr>
                    <a:defRPr b="0"/>
                  </a:pPr>
                  <a:endParaRPr lang="es-ES"/>
                </a:p>
              </c:txPr>
            </c:dLbl>
            <c:dLbl>
              <c:idx val="10"/>
              <c:numFmt formatCode="#,##0.0" sourceLinked="0"/>
              <c:spPr>
                <a:solidFill>
                  <a:schemeClr val="bg1"/>
                </a:solidFill>
              </c:spPr>
              <c:txPr>
                <a:bodyPr rot="-2820000"/>
                <a:lstStyle/>
                <a:p>
                  <a:pPr>
                    <a:defRPr b="1"/>
                  </a:pPr>
                  <a:endParaRPr lang="es-ES"/>
                </a:p>
              </c:txPr>
            </c:dLbl>
            <c:numFmt formatCode="#,##0.0" sourceLinked="0"/>
            <c:spPr>
              <a:solidFill>
                <a:schemeClr val="bg1"/>
              </a:solidFill>
            </c:spPr>
            <c:txPr>
              <a:bodyPr rot="-2820000"/>
              <a:lstStyle/>
              <a:p>
                <a:pPr>
                  <a:defRPr/>
                </a:pPr>
                <a:endParaRPr lang="es-ES"/>
              </a:p>
            </c:txPr>
            <c:dLblPos val="ctr"/>
            <c:showVal val="1"/>
          </c:dLbls>
          <c:cat>
            <c:strRef>
              <c:f>Hoja1!$A$2:$A$18</c:f>
              <c:strCache>
                <c:ptCount val="17"/>
                <c:pt idx="0">
                  <c:v>Navarra</c:v>
                </c:pt>
                <c:pt idx="1">
                  <c:v>País Vasco</c:v>
                </c:pt>
                <c:pt idx="2">
                  <c:v>Aragón</c:v>
                </c:pt>
                <c:pt idx="3">
                  <c:v>La Rioja</c:v>
                </c:pt>
                <c:pt idx="4">
                  <c:v>Castilla y León</c:v>
                </c:pt>
                <c:pt idx="5">
                  <c:v>Madrid</c:v>
                </c:pt>
                <c:pt idx="6">
                  <c:v>Baleares</c:v>
                </c:pt>
                <c:pt idx="7">
                  <c:v>Cataluña</c:v>
                </c:pt>
                <c:pt idx="8">
                  <c:v>Cantabria</c:v>
                </c:pt>
                <c:pt idx="9">
                  <c:v>Galicia</c:v>
                </c:pt>
                <c:pt idx="10">
                  <c:v>Asturias</c:v>
                </c:pt>
                <c:pt idx="11">
                  <c:v>C. Valenciana</c:v>
                </c:pt>
                <c:pt idx="12">
                  <c:v>Murcia</c:v>
                </c:pt>
                <c:pt idx="13">
                  <c:v>Castilla La Mancha</c:v>
                </c:pt>
                <c:pt idx="14">
                  <c:v>Andalucía</c:v>
                </c:pt>
                <c:pt idx="15">
                  <c:v>Canarias</c:v>
                </c:pt>
                <c:pt idx="16">
                  <c:v>Extremadura</c:v>
                </c:pt>
              </c:strCache>
            </c:strRef>
          </c:cat>
          <c:val>
            <c:numRef>
              <c:f>Hoja1!$B$2:$B$18</c:f>
              <c:numCache>
                <c:formatCode>General</c:formatCode>
                <c:ptCount val="17"/>
                <c:pt idx="0">
                  <c:v>12</c:v>
                </c:pt>
                <c:pt idx="1">
                  <c:v>13.9</c:v>
                </c:pt>
                <c:pt idx="2">
                  <c:v>18.5</c:v>
                </c:pt>
                <c:pt idx="3">
                  <c:v>19</c:v>
                </c:pt>
                <c:pt idx="4">
                  <c:v>19.8</c:v>
                </c:pt>
                <c:pt idx="5">
                  <c:v>20.9</c:v>
                </c:pt>
                <c:pt idx="6">
                  <c:v>22</c:v>
                </c:pt>
                <c:pt idx="7">
                  <c:v>22.8</c:v>
                </c:pt>
                <c:pt idx="8">
                  <c:v>23.7</c:v>
                </c:pt>
                <c:pt idx="9">
                  <c:v>25.7</c:v>
                </c:pt>
                <c:pt idx="10">
                  <c:v>27.7</c:v>
                </c:pt>
                <c:pt idx="11">
                  <c:v>29.3</c:v>
                </c:pt>
                <c:pt idx="12">
                  <c:v>29.7</c:v>
                </c:pt>
                <c:pt idx="13">
                  <c:v>29.8</c:v>
                </c:pt>
                <c:pt idx="14">
                  <c:v>35.1</c:v>
                </c:pt>
                <c:pt idx="15">
                  <c:v>36.300000000000011</c:v>
                </c:pt>
                <c:pt idx="16">
                  <c:v>38.700000000000003</c:v>
                </c:pt>
              </c:numCache>
            </c:numRef>
          </c:val>
        </c:ser>
        <c:dLbls>
          <c:showVal val="1"/>
        </c:dLbls>
        <c:axId val="102050816"/>
        <c:axId val="102056704"/>
      </c:barChart>
      <c:lineChart>
        <c:grouping val="standard"/>
        <c:ser>
          <c:idx val="1"/>
          <c:order val="1"/>
          <c:tx>
            <c:strRef>
              <c:f>Hoja1!$C$1</c:f>
              <c:strCache>
                <c:ptCount val="1"/>
                <c:pt idx="0">
                  <c:v>Serie 2</c:v>
                </c:pt>
              </c:strCache>
            </c:strRef>
          </c:tx>
          <c:marker>
            <c:symbol val="none"/>
          </c:marker>
          <c:dLbls>
            <c:dLbl>
              <c:idx val="0"/>
              <c:delete val="1"/>
            </c:dLbl>
            <c:dLbl>
              <c:idx val="1"/>
              <c:delete val="1"/>
            </c:dLbl>
            <c:dLbl>
              <c:idx val="2"/>
              <c:delete val="1"/>
            </c:dLbl>
            <c:dLbl>
              <c:idx val="3"/>
              <c:layout>
                <c:manualLayout>
                  <c:x val="9.7541870060221768E-3"/>
                  <c:y val="-4.7619047619047623E-2"/>
                </c:manualLayout>
              </c:layout>
              <c:tx>
                <c:rich>
                  <a:bodyPr/>
                  <a:lstStyle/>
                  <a:p>
                    <a:r>
                      <a:rPr lang="en-US"/>
                      <a:t>España = 26,4</a:t>
                    </a:r>
                  </a:p>
                </c:rich>
              </c:tx>
              <c:dLblPos val="r"/>
              <c:showVal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delete val="1"/>
            </c:dLbl>
            <c:dLbl>
              <c:idx val="16"/>
              <c:delete val="1"/>
            </c:dLbl>
            <c:dLblPos val="ctr"/>
            <c:showVal val="1"/>
          </c:dLbls>
          <c:cat>
            <c:strRef>
              <c:f>Hoja1!$A$2:$A$18</c:f>
              <c:strCache>
                <c:ptCount val="17"/>
                <c:pt idx="0">
                  <c:v>Navarra</c:v>
                </c:pt>
                <c:pt idx="1">
                  <c:v>País Vasco</c:v>
                </c:pt>
                <c:pt idx="2">
                  <c:v>Aragón</c:v>
                </c:pt>
                <c:pt idx="3">
                  <c:v>La Rioja</c:v>
                </c:pt>
                <c:pt idx="4">
                  <c:v>Castilla y León</c:v>
                </c:pt>
                <c:pt idx="5">
                  <c:v>Madrid</c:v>
                </c:pt>
                <c:pt idx="6">
                  <c:v>Baleares</c:v>
                </c:pt>
                <c:pt idx="7">
                  <c:v>Cataluña</c:v>
                </c:pt>
                <c:pt idx="8">
                  <c:v>Cantabria</c:v>
                </c:pt>
                <c:pt idx="9">
                  <c:v>Galicia</c:v>
                </c:pt>
                <c:pt idx="10">
                  <c:v>Asturias</c:v>
                </c:pt>
                <c:pt idx="11">
                  <c:v>C. Valenciana</c:v>
                </c:pt>
                <c:pt idx="12">
                  <c:v>Murcia</c:v>
                </c:pt>
                <c:pt idx="13">
                  <c:v>Castilla La Mancha</c:v>
                </c:pt>
                <c:pt idx="14">
                  <c:v>Andalucía</c:v>
                </c:pt>
                <c:pt idx="15">
                  <c:v>Canarias</c:v>
                </c:pt>
                <c:pt idx="16">
                  <c:v>Extremadura</c:v>
                </c:pt>
              </c:strCache>
            </c:strRef>
          </c:cat>
          <c:val>
            <c:numRef>
              <c:f>Hoja1!$C$2:$C$18</c:f>
              <c:numCache>
                <c:formatCode>General</c:formatCode>
                <c:ptCount val="17"/>
                <c:pt idx="0">
                  <c:v>26.4</c:v>
                </c:pt>
                <c:pt idx="1">
                  <c:v>26.4</c:v>
                </c:pt>
                <c:pt idx="2">
                  <c:v>26.4</c:v>
                </c:pt>
                <c:pt idx="3">
                  <c:v>26.4</c:v>
                </c:pt>
                <c:pt idx="4">
                  <c:v>26.4</c:v>
                </c:pt>
                <c:pt idx="5">
                  <c:v>26.4</c:v>
                </c:pt>
                <c:pt idx="6">
                  <c:v>26.4</c:v>
                </c:pt>
                <c:pt idx="7">
                  <c:v>26.4</c:v>
                </c:pt>
                <c:pt idx="8">
                  <c:v>26.4</c:v>
                </c:pt>
                <c:pt idx="9">
                  <c:v>26.4</c:v>
                </c:pt>
                <c:pt idx="10">
                  <c:v>26.4</c:v>
                </c:pt>
                <c:pt idx="11">
                  <c:v>26.4</c:v>
                </c:pt>
                <c:pt idx="12">
                  <c:v>26.4</c:v>
                </c:pt>
                <c:pt idx="13">
                  <c:v>26.4</c:v>
                </c:pt>
                <c:pt idx="14">
                  <c:v>26.4</c:v>
                </c:pt>
                <c:pt idx="15">
                  <c:v>26.4</c:v>
                </c:pt>
                <c:pt idx="16">
                  <c:v>26.4</c:v>
                </c:pt>
              </c:numCache>
            </c:numRef>
          </c:val>
        </c:ser>
        <c:dLbls>
          <c:showVal val="1"/>
        </c:dLbls>
        <c:marker val="1"/>
        <c:axId val="102050816"/>
        <c:axId val="102056704"/>
      </c:lineChart>
      <c:catAx>
        <c:axId val="102050816"/>
        <c:scaling>
          <c:orientation val="minMax"/>
        </c:scaling>
        <c:axPos val="b"/>
        <c:tickLblPos val="nextTo"/>
        <c:spPr>
          <a:ln>
            <a:solidFill>
              <a:srgbClr val="8064A2">
                <a:lumMod val="60000"/>
                <a:lumOff val="40000"/>
              </a:srgbClr>
            </a:solidFill>
          </a:ln>
        </c:spPr>
        <c:crossAx val="102056704"/>
        <c:crosses val="autoZero"/>
        <c:auto val="1"/>
        <c:lblAlgn val="ctr"/>
        <c:lblOffset val="100"/>
      </c:catAx>
      <c:valAx>
        <c:axId val="102056704"/>
        <c:scaling>
          <c:orientation val="minMax"/>
        </c:scaling>
        <c:axPos val="l"/>
        <c:numFmt formatCode="General" sourceLinked="1"/>
        <c:tickLblPos val="nextTo"/>
        <c:crossAx val="102050816"/>
        <c:crosses val="autoZero"/>
        <c:crossBetween val="between"/>
      </c:valAx>
      <c:spPr>
        <a:ln>
          <a:solidFill>
            <a:srgbClr val="8064A2">
              <a:lumMod val="60000"/>
              <a:lumOff val="40000"/>
            </a:srgbClr>
          </a:solidFill>
        </a:ln>
      </c:spPr>
    </c:plotArea>
    <c:plotVisOnly val="1"/>
    <c:dispBlanksAs val="gap"/>
  </c:chart>
  <c:spPr>
    <a:ln>
      <a:solidFill>
        <a:srgbClr val="8064A2">
          <a:lumMod val="60000"/>
          <a:lumOff val="40000"/>
        </a:srgbClr>
      </a:solidFill>
    </a:ln>
  </c:spPr>
  <c:txPr>
    <a:bodyPr/>
    <a:lstStyle/>
    <a:p>
      <a:pPr>
        <a:defRPr>
          <a:latin typeface="Verdana" pitchFamily="34" charset="0"/>
          <a:ea typeface="Verdana" pitchFamily="34" charset="0"/>
        </a:defRPr>
      </a:pPr>
      <a:endParaRPr lang="es-ES"/>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A57E18-3EAD-4A63-A069-B3360DA74EFF}" type="doc">
      <dgm:prSet loTypeId="urn:microsoft.com/office/officeart/2005/8/layout/arrow3" loCatId="relationship" qsTypeId="urn:microsoft.com/office/officeart/2005/8/quickstyle/simple1" qsCatId="simple" csTypeId="urn:microsoft.com/office/officeart/2005/8/colors/accent1_2" csCatId="accent1" phldr="1"/>
      <dgm:spPr/>
      <dgm:t>
        <a:bodyPr/>
        <a:lstStyle/>
        <a:p>
          <a:endParaRPr lang="es-ES"/>
        </a:p>
      </dgm:t>
    </dgm:pt>
    <dgm:pt modelId="{92C38BEE-A8B9-45FB-A419-C518F74438A5}">
      <dgm:prSet phldrT="[Texto]"/>
      <dgm:spPr/>
      <dgm:t>
        <a:bodyPr/>
        <a:lstStyle/>
        <a:p>
          <a:r>
            <a:rPr lang="es-ES"/>
            <a:t>Renta medio por hogar (28.284)</a:t>
          </a:r>
        </a:p>
      </dgm:t>
    </dgm:pt>
    <dgm:pt modelId="{D952A290-CB39-4CB7-9AAB-0CEF828DA112}" type="parTrans" cxnId="{FC622360-BCCC-4512-98EB-C63011855B58}">
      <dgm:prSet/>
      <dgm:spPr/>
      <dgm:t>
        <a:bodyPr/>
        <a:lstStyle/>
        <a:p>
          <a:endParaRPr lang="es-ES"/>
        </a:p>
      </dgm:t>
    </dgm:pt>
    <dgm:pt modelId="{C222C436-1EAB-4B43-877E-8B3FBFD5FB30}" type="sibTrans" cxnId="{FC622360-BCCC-4512-98EB-C63011855B58}">
      <dgm:prSet/>
      <dgm:spPr/>
      <dgm:t>
        <a:bodyPr/>
        <a:lstStyle/>
        <a:p>
          <a:endParaRPr lang="es-ES"/>
        </a:p>
      </dgm:t>
    </dgm:pt>
    <dgm:pt modelId="{866F268A-6893-47FA-8441-1363733E0CB2}">
      <dgm:prSet phldrT="[Texto]"/>
      <dgm:spPr/>
      <dgm:t>
        <a:bodyPr/>
        <a:lstStyle/>
        <a:p>
          <a:r>
            <a:rPr lang="es-ES"/>
            <a:t>Gasto medio bruto por hogar (27.367)</a:t>
          </a:r>
        </a:p>
      </dgm:t>
    </dgm:pt>
    <dgm:pt modelId="{53E27012-25EC-4329-840F-A2CFE98423FF}" type="parTrans" cxnId="{28024824-683C-4988-B84D-6EBDDDEDECED}">
      <dgm:prSet/>
      <dgm:spPr/>
      <dgm:t>
        <a:bodyPr/>
        <a:lstStyle/>
        <a:p>
          <a:endParaRPr lang="es-ES"/>
        </a:p>
      </dgm:t>
    </dgm:pt>
    <dgm:pt modelId="{7F354841-E480-47F1-BEB3-22E67D2E2C4F}" type="sibTrans" cxnId="{28024824-683C-4988-B84D-6EBDDDEDECED}">
      <dgm:prSet/>
      <dgm:spPr/>
      <dgm:t>
        <a:bodyPr/>
        <a:lstStyle/>
        <a:p>
          <a:endParaRPr lang="es-ES"/>
        </a:p>
      </dgm:t>
    </dgm:pt>
    <dgm:pt modelId="{58CFB7C1-FE78-458B-8F77-920B3ED297FA}" type="pres">
      <dgm:prSet presAssocID="{3BA57E18-3EAD-4A63-A069-B3360DA74EFF}" presName="compositeShape" presStyleCnt="0">
        <dgm:presLayoutVars>
          <dgm:chMax val="2"/>
          <dgm:dir/>
          <dgm:resizeHandles val="exact"/>
        </dgm:presLayoutVars>
      </dgm:prSet>
      <dgm:spPr/>
      <dgm:t>
        <a:bodyPr/>
        <a:lstStyle/>
        <a:p>
          <a:endParaRPr lang="es-ES"/>
        </a:p>
      </dgm:t>
    </dgm:pt>
    <dgm:pt modelId="{5D97E3BB-066E-4607-A5CA-2D7F74DB58E8}" type="pres">
      <dgm:prSet presAssocID="{3BA57E18-3EAD-4A63-A069-B3360DA74EFF}" presName="divider" presStyleLbl="fgShp" presStyleIdx="0" presStyleCnt="1"/>
      <dgm:spPr/>
    </dgm:pt>
    <dgm:pt modelId="{C1F4B537-6F27-4BD0-B655-F26DAF7C4617}" type="pres">
      <dgm:prSet presAssocID="{92C38BEE-A8B9-45FB-A419-C518F74438A5}" presName="downArrow" presStyleLbl="node1" presStyleIdx="0" presStyleCnt="2"/>
      <dgm:spPr>
        <a:solidFill>
          <a:srgbClr val="9900FF"/>
        </a:solidFill>
      </dgm:spPr>
    </dgm:pt>
    <dgm:pt modelId="{F8F4731B-611A-4120-A2CA-5BF5E65B7CDD}" type="pres">
      <dgm:prSet presAssocID="{92C38BEE-A8B9-45FB-A419-C518F74438A5}" presName="downArrowText" presStyleLbl="revTx" presStyleIdx="0" presStyleCnt="2">
        <dgm:presLayoutVars>
          <dgm:bulletEnabled val="1"/>
        </dgm:presLayoutVars>
      </dgm:prSet>
      <dgm:spPr/>
      <dgm:t>
        <a:bodyPr/>
        <a:lstStyle/>
        <a:p>
          <a:endParaRPr lang="es-ES"/>
        </a:p>
      </dgm:t>
    </dgm:pt>
    <dgm:pt modelId="{F6FC7CF2-C269-460D-B1A9-2B9FC137A597}" type="pres">
      <dgm:prSet presAssocID="{866F268A-6893-47FA-8441-1363733E0CB2}" presName="upArrow" presStyleLbl="node1" presStyleIdx="1" presStyleCnt="2"/>
      <dgm:spPr>
        <a:solidFill>
          <a:srgbClr val="B3A2C7"/>
        </a:solidFill>
      </dgm:spPr>
    </dgm:pt>
    <dgm:pt modelId="{ADB2D8DA-CA73-4E82-96EC-D76A30E14F1D}" type="pres">
      <dgm:prSet presAssocID="{866F268A-6893-47FA-8441-1363733E0CB2}" presName="upArrowText" presStyleLbl="revTx" presStyleIdx="1" presStyleCnt="2">
        <dgm:presLayoutVars>
          <dgm:bulletEnabled val="1"/>
        </dgm:presLayoutVars>
      </dgm:prSet>
      <dgm:spPr/>
      <dgm:t>
        <a:bodyPr/>
        <a:lstStyle/>
        <a:p>
          <a:endParaRPr lang="es-ES"/>
        </a:p>
      </dgm:t>
    </dgm:pt>
  </dgm:ptLst>
  <dgm:cxnLst>
    <dgm:cxn modelId="{FAC0CE28-FE7F-4846-88B2-36ED877BF49C}" type="presOf" srcId="{92C38BEE-A8B9-45FB-A419-C518F74438A5}" destId="{F8F4731B-611A-4120-A2CA-5BF5E65B7CDD}" srcOrd="0" destOrd="0" presId="urn:microsoft.com/office/officeart/2005/8/layout/arrow3"/>
    <dgm:cxn modelId="{0B41DBD0-5C7F-421D-9899-68EC85D0DA3F}" type="presOf" srcId="{866F268A-6893-47FA-8441-1363733E0CB2}" destId="{ADB2D8DA-CA73-4E82-96EC-D76A30E14F1D}" srcOrd="0" destOrd="0" presId="urn:microsoft.com/office/officeart/2005/8/layout/arrow3"/>
    <dgm:cxn modelId="{F3950EDF-382D-4322-A87B-564D2B620DF2}" type="presOf" srcId="{3BA57E18-3EAD-4A63-A069-B3360DA74EFF}" destId="{58CFB7C1-FE78-458B-8F77-920B3ED297FA}" srcOrd="0" destOrd="0" presId="urn:microsoft.com/office/officeart/2005/8/layout/arrow3"/>
    <dgm:cxn modelId="{28024824-683C-4988-B84D-6EBDDDEDECED}" srcId="{3BA57E18-3EAD-4A63-A069-B3360DA74EFF}" destId="{866F268A-6893-47FA-8441-1363733E0CB2}" srcOrd="1" destOrd="0" parTransId="{53E27012-25EC-4329-840F-A2CFE98423FF}" sibTransId="{7F354841-E480-47F1-BEB3-22E67D2E2C4F}"/>
    <dgm:cxn modelId="{FC622360-BCCC-4512-98EB-C63011855B58}" srcId="{3BA57E18-3EAD-4A63-A069-B3360DA74EFF}" destId="{92C38BEE-A8B9-45FB-A419-C518F74438A5}" srcOrd="0" destOrd="0" parTransId="{D952A290-CB39-4CB7-9AAB-0CEF828DA112}" sibTransId="{C222C436-1EAB-4B43-877E-8B3FBFD5FB30}"/>
    <dgm:cxn modelId="{72C185C7-3161-4EBC-B45C-EDED8B63C1D2}" type="presParOf" srcId="{58CFB7C1-FE78-458B-8F77-920B3ED297FA}" destId="{5D97E3BB-066E-4607-A5CA-2D7F74DB58E8}" srcOrd="0" destOrd="0" presId="urn:microsoft.com/office/officeart/2005/8/layout/arrow3"/>
    <dgm:cxn modelId="{240D10A8-8830-495C-99D9-78F301102723}" type="presParOf" srcId="{58CFB7C1-FE78-458B-8F77-920B3ED297FA}" destId="{C1F4B537-6F27-4BD0-B655-F26DAF7C4617}" srcOrd="1" destOrd="0" presId="urn:microsoft.com/office/officeart/2005/8/layout/arrow3"/>
    <dgm:cxn modelId="{6553E6B4-6880-4629-9A98-8944AD132EAE}" type="presParOf" srcId="{58CFB7C1-FE78-458B-8F77-920B3ED297FA}" destId="{F8F4731B-611A-4120-A2CA-5BF5E65B7CDD}" srcOrd="2" destOrd="0" presId="urn:microsoft.com/office/officeart/2005/8/layout/arrow3"/>
    <dgm:cxn modelId="{A7E6BD68-92B8-486F-B793-2D6128E75A6D}" type="presParOf" srcId="{58CFB7C1-FE78-458B-8F77-920B3ED297FA}" destId="{F6FC7CF2-C269-460D-B1A9-2B9FC137A597}" srcOrd="3" destOrd="0" presId="urn:microsoft.com/office/officeart/2005/8/layout/arrow3"/>
    <dgm:cxn modelId="{780E623D-4D69-439D-B5C7-2148DC9197E4}" type="presParOf" srcId="{58CFB7C1-FE78-458B-8F77-920B3ED297FA}" destId="{ADB2D8DA-CA73-4E82-96EC-D76A30E14F1D}" srcOrd="4" destOrd="0" presId="urn:microsoft.com/office/officeart/2005/8/layout/arrow3"/>
  </dgm:cxnLst>
  <dgm:bg/>
  <dgm:whole/>
</dgm:dataModel>
</file>

<file path=word/diagrams/layout1.xml><?xml version="1.0" encoding="utf-8"?>
<dgm:layoutDef xmlns:dgm="http://schemas.openxmlformats.org/drawingml/2006/diagram" xmlns:a="http://schemas.openxmlformats.org/drawingml/2006/main" uniqueId="urn:microsoft.com/office/officeart/2005/8/layout/arrow3">
  <dgm:title val=""/>
  <dgm:desc val=""/>
  <dgm:catLst>
    <dgm:cat type="relationship" pri="5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none"/>
      <dgm:param type="vertAlign" val="none"/>
    </dgm:alg>
    <dgm:shape xmlns:r="http://schemas.openxmlformats.org/officeDocument/2006/relationships" r:blip="">
      <dgm:adjLst/>
    </dgm:shape>
    <dgm:presOf/>
    <dgm:choose name="Name0">
      <dgm:if name="Name1" func="var" arg="dir" op="equ" val="norm">
        <dgm:choose name="Name2">
          <dgm:if name="Name3"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l" for="ch" forName="downArrow" refType="w" fact="0.1"/>
              <dgm:constr type="t" for="ch" forName="downArrow" refType="h" fact="0.05"/>
              <dgm:constr type="lOff" for="ch" forName="downArrow" refType="w" fact="0.02"/>
              <dgm:constr type="w" for="ch" forName="downArrowText" refType="w" fact="0.32"/>
              <dgm:constr type="h" for="ch" forName="downArrowText" refType="h" fact="0.42"/>
              <dgm:constr type="t" for="ch" forName="downArrowText"/>
              <dgm:constr type="r" for="ch" forName="downArrowText" refType="w" fact="0.85"/>
              <dgm:constr type="w" for="ch" forName="upArrow" refType="w" fact="0.3"/>
              <dgm:constr type="h" for="ch" forName="upArrow" refType="h" fact="0.4"/>
              <dgm:constr type="b" for="ch" forName="upArrow" refType="h" fact="0.95"/>
              <dgm:constr type="r" for="ch" forName="upArrow" refType="w" fact="0.9"/>
              <dgm:constr type="rOff" for="ch" forName="upArrow" refType="w" fact="-0.02"/>
              <dgm:constr type="w" for="ch" forName="upArrowText" refType="w" fact="0.32"/>
              <dgm:constr type="h" for="ch" forName="upArrowText" refType="h" fact="0.42"/>
              <dgm:constr type="b" for="ch" forName="upArrowText" refType="h"/>
              <dgm:constr type="l" for="ch" forName="upArrowText" refType="w" fact="0.15"/>
              <dgm:constr type="primFontSz" for="ch" ptType="node" op="equ" val="65"/>
            </dgm:constrLst>
          </dgm:if>
          <dgm:else name="Name4">
            <dgm:constrLst>
              <dgm:constr type="w" for="ch" forName="downArrow" refType="w" fact="0.4"/>
              <dgm:constr type="h" for="ch" forName="downArrow" refType="h" fact="0.8"/>
              <dgm:constr type="l" for="ch" forName="downArrow" refType="w" fact="0.02"/>
              <dgm:constr type="t" for="ch" forName="downArrow" refType="h" fact="0.05"/>
              <dgm:constr type="lOff" for="ch" forName="downArrow" refType="w" fact="0.02"/>
              <dgm:constr type="w" for="ch" forName="downArrowText" refType="w" fact="0.5"/>
              <dgm:constr type="h" for="ch" forName="downArrowText" refType="h"/>
              <dgm:constr type="t" for="ch" forName="downArrowText"/>
              <dgm:constr type="r" for="ch" forName="downArrowText" refType="w"/>
              <dgm:constr type="primFontSz" for="ch" ptType="node" op="equ" val="65"/>
            </dgm:constrLst>
          </dgm:else>
        </dgm:choose>
      </dgm:if>
      <dgm:else name="Name5">
        <dgm:choose name="Name6">
          <dgm:if name="Name7" axis="ch" ptType="node" func="cnt" op="gte" val="2">
            <dgm:constrLst>
              <dgm:constr type="w" for="ch" forName="divider" refType="w"/>
              <dgm:constr type="h" for="ch" forName="divider" refType="w" fact="0.2"/>
              <dgm:constr type="h" for="ch" forName="divider" refType="h" op="gte" fact="0.2"/>
              <dgm:constr type="h" for="ch" forName="divider" refType="h" op="lte" fact="0.4"/>
              <dgm:constr type="ctrX" for="ch" forName="divider" refType="w" fact="0.5"/>
              <dgm:constr type="ctrY" for="ch" forName="divider" refType="h" fact="0.5"/>
              <dgm:constr type="w" for="ch" forName="downArrow" refType="w" fact="0.3"/>
              <dgm:constr type="h" for="ch" forName="downArrow" refType="h" fact="0.4"/>
              <dgm:constr type="r" for="ch" forName="downArrow" refType="w" fact="0.9"/>
              <dgm:constr type="t" for="ch" forName="downArrow" refType="h" fact="0.05"/>
              <dgm:constr type="rOff" for="ch" forName="downArrow" refType="w" fact="-0.02"/>
              <dgm:constr type="w" for="ch" forName="downArrowText" refType="w" fact="0.32"/>
              <dgm:constr type="h" for="ch" forName="downArrowText" refType="h" fact="0.42"/>
              <dgm:constr type="t" for="ch" forName="downArrowText"/>
              <dgm:constr type="l" for="ch" forName="downArrowText" refType="w" fact="0.15"/>
              <dgm:constr type="w" for="ch" forName="upArrow" refType="w" fact="0.3"/>
              <dgm:constr type="h" for="ch" forName="upArrow" refType="h" fact="0.4"/>
              <dgm:constr type="b" for="ch" forName="upArrow" refType="h" fact="0.95"/>
              <dgm:constr type="l" for="ch" forName="upArrow" refType="w" fact="0.1"/>
              <dgm:constr type="lOff" for="ch" forName="upArrow" refType="w" fact="0.02"/>
              <dgm:constr type="w" for="ch" forName="upArrowText" refType="w" fact="0.32"/>
              <dgm:constr type="h" for="ch" forName="upArrowText" refType="h" fact="0.42"/>
              <dgm:constr type="b" for="ch" forName="upArrowText" refType="h"/>
              <dgm:constr type="r" for="ch" forName="upArrowText" refType="w" fact="0.85"/>
              <dgm:constr type="primFontSz" for="ch" ptType="node" op="equ" val="65"/>
            </dgm:constrLst>
          </dgm:if>
          <dgm:else name="Name8">
            <dgm:constrLst>
              <dgm:constr type="w" for="ch" forName="downArrow" refType="w" fact="0.4"/>
              <dgm:constr type="h" for="ch" forName="downArrow" refType="h" fact="0.8"/>
              <dgm:constr type="r" for="ch" forName="downArrow" refType="w" fact="0.98"/>
              <dgm:constr type="t" for="ch" forName="downArrow" refType="h" fact="0.05"/>
              <dgm:constr type="rOff" for="ch" forName="downArrow" refType="w" fact="-0.02"/>
              <dgm:constr type="w" for="ch" forName="downArrowText" refType="w" fact="0.5"/>
              <dgm:constr type="h" for="ch" forName="downArrowText" refType="h"/>
              <dgm:constr type="t" for="ch" forName="downArrowText"/>
              <dgm:constr type="l" for="ch" forName="downArrowText"/>
              <dgm:constr type="primFontSz" for="ch" ptType="node" op="equ" val="65"/>
            </dgm:constrLst>
          </dgm:else>
        </dgm:choose>
      </dgm:else>
    </dgm:choose>
    <dgm:ruleLst/>
    <dgm:choose name="Name9">
      <dgm:if name="Name10" axis="ch" ptType="node" func="cnt" op="gte" val="2">
        <dgm:layoutNode name="divider" styleLbl="fgShp">
          <dgm:alg type="sp"/>
          <dgm:choose name="Name11">
            <dgm:if name="Name12" func="var" arg="dir" op="equ" val="norm">
              <dgm:shape xmlns:r="http://schemas.openxmlformats.org/officeDocument/2006/relationships" rot="-5" type="mathMinus" r:blip="">
                <dgm:adjLst/>
              </dgm:shape>
            </dgm:if>
            <dgm:else name="Name13">
              <dgm:shape xmlns:r="http://schemas.openxmlformats.org/officeDocument/2006/relationships" rot="5" type="mathMinus" r:blip="">
                <dgm:adjLst/>
              </dgm:shape>
            </dgm:else>
          </dgm:choose>
          <dgm:presOf/>
          <dgm:constrLst/>
          <dgm:ruleLst/>
        </dgm:layoutNode>
      </dgm:if>
      <dgm:else name="Name14"/>
    </dgm:choose>
    <dgm:forEach name="Name15" axis="ch" ptType="node" cnt="1">
      <dgm:layoutNode name="downArrow" styleLbl="node1">
        <dgm:alg type="sp"/>
        <dgm:shape xmlns:r="http://schemas.openxmlformats.org/officeDocument/2006/relationships" type="downArrow" r:blip="">
          <dgm:adjLst/>
        </dgm:shape>
        <dgm:presOf/>
        <dgm:constrLst/>
        <dgm:ruleLst/>
      </dgm:layoutNode>
      <dgm:layoutNode name="down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forEach name="Name16" axis="ch" ptType="node" st="2" cnt="1">
      <dgm:layoutNode name="upArrow" styleLbl="node1">
        <dgm:alg type="sp"/>
        <dgm:shape xmlns:r="http://schemas.openxmlformats.org/officeDocument/2006/relationships" type="upArrow" r:blip="">
          <dgm:adjLst/>
        </dgm:shape>
        <dgm:presOf/>
        <dgm:constrLst/>
        <dgm:ruleLst/>
      </dgm:layoutNode>
      <dgm:layoutNode name="upArrowText" styleLbl="revTx">
        <dgm:varLst>
          <dgm:bulletEnabled val="1"/>
        </dgm:varLst>
        <dgm:alg type="tx">
          <dgm:param type="txAnchorVertCh" val="mid"/>
        </dgm:alg>
        <dgm:shape xmlns:r="http://schemas.openxmlformats.org/officeDocument/2006/relationships" type="rect" r:blip="">
          <dgm:adjLst/>
        </dgm:shape>
        <dgm:presOf axis="desOrSelf" ptType="node"/>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0.65466</cdr:x>
      <cdr:y>0.20192</cdr:y>
    </cdr:from>
    <cdr:to>
      <cdr:x>0.96682</cdr:x>
      <cdr:y>0.38365</cdr:y>
    </cdr:to>
    <cdr:sp macro="" textlink="">
      <cdr:nvSpPr>
        <cdr:cNvPr id="2" name="1 CuadroTexto"/>
        <cdr:cNvSpPr txBox="1"/>
      </cdr:nvSpPr>
      <cdr:spPr>
        <a:xfrm xmlns:a="http://schemas.openxmlformats.org/drawingml/2006/main">
          <a:off x="3535183" y="636104"/>
          <a:ext cx="1685677" cy="572493"/>
        </a:xfrm>
        <a:prstGeom xmlns:a="http://schemas.openxmlformats.org/drawingml/2006/main" prst="rect">
          <a:avLst/>
        </a:prstGeom>
        <a:ln xmlns:a="http://schemas.openxmlformats.org/drawingml/2006/main">
          <a:solidFill>
            <a:srgbClr val="7030A0"/>
          </a:solidFill>
        </a:ln>
      </cdr:spPr>
      <cdr:txBody>
        <a:bodyPr xmlns:a="http://schemas.openxmlformats.org/drawingml/2006/main" wrap="square" rtlCol="0"/>
        <a:lstStyle xmlns:a="http://schemas.openxmlformats.org/drawingml/2006/main"/>
        <a:p xmlns:a="http://schemas.openxmlformats.org/drawingml/2006/main">
          <a:r>
            <a:rPr lang="es-ES" sz="1100" b="1">
              <a:solidFill>
                <a:srgbClr val="7030A0"/>
              </a:solidFill>
            </a:rPr>
            <a:t>Pérdida</a:t>
          </a:r>
          <a:r>
            <a:rPr lang="es-ES" sz="1100" b="1" baseline="0">
              <a:solidFill>
                <a:srgbClr val="7030A0"/>
              </a:solidFill>
            </a:rPr>
            <a:t> poder adquisitivo 2009-19: 3,2 puntos porcentuales</a:t>
          </a:r>
          <a:endParaRPr lang="es-ES" sz="1100" b="1">
            <a:solidFill>
              <a:srgbClr val="7030A0"/>
            </a:solidFill>
          </a:endParaRP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BDF34-24D7-4F08-8837-9576F709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5956</TotalTime>
  <Pages>30</Pages>
  <Words>4350</Words>
  <Characters>23930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28224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egavela</dc:creator>
  <cp:lastModifiedBy>usuario</cp:lastModifiedBy>
  <cp:revision>344</cp:revision>
  <cp:lastPrinted>2021-07-16T08:18:00Z</cp:lastPrinted>
  <dcterms:created xsi:type="dcterms:W3CDTF">2018-09-26T08:33:00Z</dcterms:created>
  <dcterms:modified xsi:type="dcterms:W3CDTF">2021-07-16T11:31:00Z</dcterms:modified>
</cp:coreProperties>
</file>